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6C5F6" w14:textId="77777777" w:rsidR="00ED25C1" w:rsidRPr="009D283A" w:rsidRDefault="00ED25C1" w:rsidP="00ED25C1">
      <w:pPr>
        <w:jc w:val="center"/>
        <w:rPr>
          <w:rFonts w:ascii="Montserrat" w:hAnsi="Montserrat" w:cs="Times New Roman"/>
          <w:b/>
        </w:rPr>
      </w:pPr>
      <w:r w:rsidRPr="009D283A">
        <w:rPr>
          <w:rFonts w:ascii="Montserrat" w:hAnsi="Montserrat" w:cs="Times New Roman"/>
          <w:b/>
        </w:rPr>
        <w:t xml:space="preserve">Informe de desempeño de los Programas Presupuestarios del </w:t>
      </w:r>
      <w:r w:rsidR="007729D2">
        <w:rPr>
          <w:rFonts w:ascii="Montserrat" w:hAnsi="Montserrat" w:cs="Times New Roman"/>
          <w:b/>
        </w:rPr>
        <w:t>Conacyt</w:t>
      </w:r>
    </w:p>
    <w:p w14:paraId="5D256281" w14:textId="77777777" w:rsidR="00ED25C1" w:rsidRPr="009D283A" w:rsidRDefault="00ED25C1" w:rsidP="00ED25C1">
      <w:pPr>
        <w:jc w:val="center"/>
        <w:rPr>
          <w:rFonts w:ascii="Montserrat" w:hAnsi="Montserrat" w:cs="Times New Roman"/>
          <w:b/>
        </w:rPr>
      </w:pPr>
    </w:p>
    <w:p w14:paraId="7E40DD87" w14:textId="77777777" w:rsidR="00ED25C1" w:rsidRPr="009D283A" w:rsidRDefault="00ED25C1" w:rsidP="00ED25C1">
      <w:pPr>
        <w:jc w:val="center"/>
        <w:rPr>
          <w:rFonts w:ascii="Montserrat" w:hAnsi="Montserrat" w:cs="Times New Roman"/>
          <w:b/>
        </w:rPr>
      </w:pPr>
      <w:r w:rsidRPr="009D283A">
        <w:rPr>
          <w:rFonts w:ascii="Montserrat" w:hAnsi="Montserrat" w:cs="Times New Roman"/>
          <w:b/>
        </w:rPr>
        <w:t>(4º Trimestre 202</w:t>
      </w:r>
      <w:r>
        <w:rPr>
          <w:rFonts w:ascii="Montserrat" w:hAnsi="Montserrat" w:cs="Times New Roman"/>
          <w:b/>
        </w:rPr>
        <w:t>2</w:t>
      </w:r>
      <w:r w:rsidRPr="009D283A">
        <w:rPr>
          <w:rFonts w:ascii="Montserrat" w:hAnsi="Montserrat" w:cs="Times New Roman"/>
          <w:b/>
        </w:rPr>
        <w:t>)</w:t>
      </w:r>
    </w:p>
    <w:p w14:paraId="197F8F1D" w14:textId="77777777" w:rsidR="00ED25C1" w:rsidRPr="002F0ACE" w:rsidRDefault="00ED25C1" w:rsidP="00ED25C1">
      <w:pPr>
        <w:jc w:val="center"/>
        <w:rPr>
          <w:rFonts w:ascii="Times New Roman" w:hAnsi="Times New Roman" w:cs="Times New Roman"/>
          <w:sz w:val="28"/>
          <w:szCs w:val="28"/>
        </w:rPr>
      </w:pPr>
    </w:p>
    <w:p w14:paraId="4DA203CE" w14:textId="77777777" w:rsidR="00ED25C1" w:rsidRPr="008A3990" w:rsidRDefault="00ED25C1" w:rsidP="00ED25C1">
      <w:pPr>
        <w:jc w:val="both"/>
        <w:rPr>
          <w:rFonts w:ascii="Montserrat" w:hAnsi="Montserrat" w:cs="Times New Roman"/>
          <w:sz w:val="22"/>
          <w:szCs w:val="22"/>
        </w:rPr>
      </w:pPr>
      <w:r w:rsidRPr="008A3990">
        <w:rPr>
          <w:rFonts w:ascii="Montserrat" w:hAnsi="Montserrat" w:cs="Times New Roman"/>
          <w:sz w:val="22"/>
          <w:szCs w:val="22"/>
        </w:rPr>
        <w:t>En atención a la normatividad vigente en materia de monitoreo y evaluación, el Consejo Nacional de Ciencia y Tecnología (</w:t>
      </w:r>
      <w:r w:rsidR="007729D2">
        <w:rPr>
          <w:rFonts w:ascii="Montserrat" w:hAnsi="Montserrat" w:cs="Times New Roman"/>
          <w:sz w:val="22"/>
          <w:szCs w:val="22"/>
        </w:rPr>
        <w:t>Conacyt</w:t>
      </w:r>
      <w:r w:rsidRPr="008A3990">
        <w:rPr>
          <w:rFonts w:ascii="Montserrat" w:hAnsi="Montserrat" w:cs="Times New Roman"/>
          <w:sz w:val="22"/>
          <w:szCs w:val="22"/>
        </w:rPr>
        <w:t xml:space="preserve">), se encuentra mandatado a realizar reportes periódicos de los avances de metas de indicadores, correspondientes a sus programas presupuestarios. Dichos reportes, se basan en la información contenida en las Matrices de Indicadores </w:t>
      </w:r>
      <w:r w:rsidR="00A7075B">
        <w:rPr>
          <w:rFonts w:ascii="Montserrat" w:hAnsi="Montserrat" w:cs="Times New Roman"/>
          <w:sz w:val="22"/>
          <w:szCs w:val="22"/>
        </w:rPr>
        <w:t>para</w:t>
      </w:r>
      <w:r w:rsidR="00A7075B" w:rsidRPr="008A3990">
        <w:rPr>
          <w:rFonts w:ascii="Montserrat" w:hAnsi="Montserrat" w:cs="Times New Roman"/>
          <w:sz w:val="22"/>
          <w:szCs w:val="22"/>
        </w:rPr>
        <w:t xml:space="preserve"> </w:t>
      </w:r>
      <w:r w:rsidRPr="008A3990">
        <w:rPr>
          <w:rFonts w:ascii="Montserrat" w:hAnsi="Montserrat" w:cs="Times New Roman"/>
          <w:sz w:val="22"/>
          <w:szCs w:val="22"/>
        </w:rPr>
        <w:t xml:space="preserve">Resultados (MIR), registradas en el Portal </w:t>
      </w:r>
      <w:r w:rsidR="00EA5754">
        <w:rPr>
          <w:rFonts w:ascii="Montserrat" w:hAnsi="Montserrat" w:cs="Times New Roman"/>
          <w:sz w:val="22"/>
          <w:szCs w:val="22"/>
        </w:rPr>
        <w:t>A</w:t>
      </w:r>
      <w:r w:rsidRPr="008A3990">
        <w:rPr>
          <w:rFonts w:ascii="Montserrat" w:hAnsi="Montserrat" w:cs="Times New Roman"/>
          <w:sz w:val="22"/>
          <w:szCs w:val="22"/>
        </w:rPr>
        <w:t>plicativo de la Secretaría de Hacienda (PASH).</w:t>
      </w:r>
    </w:p>
    <w:p w14:paraId="5B78DF7C" w14:textId="77777777" w:rsidR="00ED25C1" w:rsidRPr="008A3990" w:rsidRDefault="00ED25C1" w:rsidP="00ED25C1">
      <w:pPr>
        <w:jc w:val="both"/>
        <w:rPr>
          <w:rFonts w:ascii="Montserrat" w:hAnsi="Montserrat" w:cs="Times New Roman"/>
          <w:sz w:val="22"/>
          <w:szCs w:val="22"/>
        </w:rPr>
      </w:pPr>
    </w:p>
    <w:p w14:paraId="4722763B" w14:textId="77777777" w:rsidR="00ED25C1" w:rsidRPr="008A3990" w:rsidRDefault="00ED25C1" w:rsidP="00ED25C1">
      <w:pPr>
        <w:jc w:val="both"/>
        <w:rPr>
          <w:rFonts w:ascii="Montserrat" w:hAnsi="Montserrat" w:cs="Times New Roman"/>
          <w:sz w:val="22"/>
          <w:szCs w:val="22"/>
        </w:rPr>
      </w:pPr>
      <w:r w:rsidRPr="008A3990">
        <w:rPr>
          <w:rFonts w:ascii="Montserrat" w:hAnsi="Montserrat" w:cs="Times New Roman"/>
          <w:sz w:val="22"/>
          <w:szCs w:val="22"/>
        </w:rPr>
        <w:t>La mecánica de reporte ante las diversas instancias fiscalizadoras es la siguiente:</w:t>
      </w:r>
    </w:p>
    <w:p w14:paraId="101E9BA4" w14:textId="77777777" w:rsidR="00ED25C1" w:rsidRPr="008A3990" w:rsidRDefault="00ED25C1" w:rsidP="00ED25C1">
      <w:pPr>
        <w:jc w:val="both"/>
        <w:rPr>
          <w:rFonts w:ascii="Montserrat" w:hAnsi="Montserrat" w:cs="Times New Roman"/>
          <w:sz w:val="22"/>
          <w:szCs w:val="22"/>
        </w:rPr>
      </w:pPr>
    </w:p>
    <w:p w14:paraId="01458CC4" w14:textId="77777777" w:rsidR="00ED25C1" w:rsidRPr="008A3990" w:rsidRDefault="00EA5754" w:rsidP="00ED25C1">
      <w:pPr>
        <w:pStyle w:val="Prrafodelista"/>
        <w:numPr>
          <w:ilvl w:val="0"/>
          <w:numId w:val="1"/>
        </w:numPr>
        <w:jc w:val="both"/>
        <w:rPr>
          <w:rFonts w:ascii="Montserrat" w:hAnsi="Montserrat" w:cs="Times New Roman"/>
          <w:sz w:val="22"/>
          <w:szCs w:val="22"/>
        </w:rPr>
      </w:pPr>
      <w:r>
        <w:rPr>
          <w:rFonts w:ascii="Montserrat" w:hAnsi="Montserrat" w:cs="Times New Roman"/>
          <w:sz w:val="22"/>
          <w:szCs w:val="22"/>
        </w:rPr>
        <w:t>En e</w:t>
      </w:r>
      <w:r w:rsidR="00ED25C1" w:rsidRPr="008A3990">
        <w:rPr>
          <w:rFonts w:ascii="Montserrat" w:hAnsi="Montserrat" w:cs="Times New Roman"/>
          <w:sz w:val="22"/>
          <w:szCs w:val="22"/>
        </w:rPr>
        <w:t>l primer y tercer trimestre se reportan los indicadores de periodicidad trimestral.</w:t>
      </w:r>
    </w:p>
    <w:p w14:paraId="6435F8CB" w14:textId="77777777" w:rsidR="00ED25C1" w:rsidRPr="008A3990" w:rsidRDefault="00EA5754" w:rsidP="00ED25C1">
      <w:pPr>
        <w:pStyle w:val="Prrafodelista"/>
        <w:numPr>
          <w:ilvl w:val="0"/>
          <w:numId w:val="1"/>
        </w:numPr>
        <w:jc w:val="both"/>
        <w:rPr>
          <w:rFonts w:ascii="Montserrat" w:hAnsi="Montserrat" w:cs="Times New Roman"/>
          <w:sz w:val="22"/>
          <w:szCs w:val="22"/>
        </w:rPr>
      </w:pPr>
      <w:r>
        <w:rPr>
          <w:rFonts w:ascii="Montserrat" w:hAnsi="Montserrat" w:cs="Times New Roman"/>
          <w:sz w:val="22"/>
          <w:szCs w:val="22"/>
        </w:rPr>
        <w:t>En e</w:t>
      </w:r>
      <w:r w:rsidR="00ED25C1" w:rsidRPr="008A3990">
        <w:rPr>
          <w:rFonts w:ascii="Montserrat" w:hAnsi="Montserrat" w:cs="Times New Roman"/>
          <w:sz w:val="22"/>
          <w:szCs w:val="22"/>
        </w:rPr>
        <w:t>l segundo trimestre se reportan los indicadores</w:t>
      </w:r>
      <w:r>
        <w:rPr>
          <w:rFonts w:ascii="Montserrat" w:hAnsi="Montserrat" w:cs="Times New Roman"/>
          <w:sz w:val="22"/>
          <w:szCs w:val="22"/>
        </w:rPr>
        <w:t xml:space="preserve"> con periodicidad </w:t>
      </w:r>
      <w:r w:rsidR="00E82895">
        <w:rPr>
          <w:rFonts w:ascii="Montserrat" w:hAnsi="Montserrat" w:cs="Times New Roman"/>
          <w:sz w:val="22"/>
          <w:szCs w:val="22"/>
        </w:rPr>
        <w:t>trimestral,</w:t>
      </w:r>
      <w:r w:rsidR="00ED25C1" w:rsidRPr="008A3990">
        <w:rPr>
          <w:rFonts w:ascii="Montserrat" w:hAnsi="Montserrat" w:cs="Times New Roman"/>
          <w:sz w:val="22"/>
          <w:szCs w:val="22"/>
        </w:rPr>
        <w:t xml:space="preserve"> así como los que derivan del primer semestre.</w:t>
      </w:r>
    </w:p>
    <w:p w14:paraId="0596696E" w14:textId="77777777" w:rsidR="00ED25C1" w:rsidRPr="008A3990" w:rsidRDefault="00EA5754" w:rsidP="00ED25C1">
      <w:pPr>
        <w:pStyle w:val="Prrafodelista"/>
        <w:numPr>
          <w:ilvl w:val="0"/>
          <w:numId w:val="1"/>
        </w:numPr>
        <w:jc w:val="both"/>
        <w:rPr>
          <w:rFonts w:ascii="Montserrat" w:hAnsi="Montserrat" w:cs="Times New Roman"/>
          <w:sz w:val="22"/>
          <w:szCs w:val="22"/>
        </w:rPr>
      </w:pPr>
      <w:r>
        <w:rPr>
          <w:rFonts w:ascii="Montserrat" w:hAnsi="Montserrat" w:cs="Times New Roman"/>
          <w:sz w:val="22"/>
          <w:szCs w:val="22"/>
        </w:rPr>
        <w:t>Al</w:t>
      </w:r>
      <w:r w:rsidRPr="008A3990">
        <w:rPr>
          <w:rFonts w:ascii="Montserrat" w:hAnsi="Montserrat" w:cs="Times New Roman"/>
          <w:sz w:val="22"/>
          <w:szCs w:val="22"/>
        </w:rPr>
        <w:t xml:space="preserve"> </w:t>
      </w:r>
      <w:r w:rsidR="00ED25C1" w:rsidRPr="008A3990">
        <w:rPr>
          <w:rFonts w:ascii="Montserrat" w:hAnsi="Montserrat" w:cs="Times New Roman"/>
          <w:sz w:val="22"/>
          <w:szCs w:val="22"/>
        </w:rPr>
        <w:t xml:space="preserve">cierre de año se reportan los indicadores trimestrales, los del segundo semestre y los anuales. </w:t>
      </w:r>
    </w:p>
    <w:p w14:paraId="76574C31" w14:textId="77777777" w:rsidR="00ED25C1" w:rsidRPr="008A3990" w:rsidRDefault="00ED25C1" w:rsidP="00ED25C1">
      <w:pPr>
        <w:ind w:left="360"/>
        <w:jc w:val="both"/>
        <w:rPr>
          <w:rFonts w:ascii="Montserrat" w:hAnsi="Montserrat" w:cs="Times New Roman"/>
          <w:sz w:val="22"/>
          <w:szCs w:val="22"/>
        </w:rPr>
      </w:pPr>
    </w:p>
    <w:p w14:paraId="0E12EC97" w14:textId="1F60EE40" w:rsidR="00ED25C1" w:rsidRPr="008A3990" w:rsidRDefault="00ED25C1" w:rsidP="00ED25C1">
      <w:pPr>
        <w:jc w:val="both"/>
        <w:rPr>
          <w:rFonts w:ascii="Montserrat" w:hAnsi="Montserrat" w:cs="Times New Roman"/>
          <w:sz w:val="22"/>
          <w:szCs w:val="22"/>
        </w:rPr>
      </w:pPr>
      <w:r w:rsidRPr="000E3D68">
        <w:rPr>
          <w:rFonts w:ascii="Montserrat" w:hAnsi="Montserrat" w:cs="Times New Roman"/>
          <w:sz w:val="22"/>
          <w:szCs w:val="22"/>
        </w:rPr>
        <w:t>Cabe señalar que, para calcular el desempeño de cada programa, se analiza</w:t>
      </w:r>
      <w:r w:rsidR="00C651C8">
        <w:rPr>
          <w:rFonts w:ascii="Montserrat" w:hAnsi="Montserrat" w:cs="Times New Roman"/>
          <w:sz w:val="22"/>
          <w:szCs w:val="22"/>
        </w:rPr>
        <w:t xml:space="preserve"> el sentido del indicador </w:t>
      </w:r>
      <w:r w:rsidR="00F9581D">
        <w:rPr>
          <w:rFonts w:ascii="Montserrat" w:hAnsi="Montserrat" w:cs="Times New Roman"/>
          <w:sz w:val="22"/>
          <w:szCs w:val="22"/>
        </w:rPr>
        <w:t xml:space="preserve">y </w:t>
      </w:r>
      <w:r w:rsidR="00F9581D" w:rsidRPr="000E3D68">
        <w:rPr>
          <w:rFonts w:ascii="Montserrat" w:hAnsi="Montserrat" w:cs="Times New Roman"/>
          <w:sz w:val="22"/>
          <w:szCs w:val="22"/>
        </w:rPr>
        <w:t>el</w:t>
      </w:r>
      <w:r w:rsidRPr="000E3D68">
        <w:rPr>
          <w:rFonts w:ascii="Montserrat" w:hAnsi="Montserrat" w:cs="Times New Roman"/>
          <w:sz w:val="22"/>
          <w:szCs w:val="22"/>
        </w:rPr>
        <w:t xml:space="preserve"> tipo de indicador</w:t>
      </w:r>
      <w:r w:rsidR="00F9581D">
        <w:rPr>
          <w:rFonts w:ascii="Montserrat" w:hAnsi="Montserrat" w:cs="Times New Roman"/>
          <w:sz w:val="22"/>
          <w:szCs w:val="22"/>
        </w:rPr>
        <w:t xml:space="preserve">. Es </w:t>
      </w:r>
      <w:r w:rsidR="00584DBD">
        <w:rPr>
          <w:rFonts w:ascii="Montserrat" w:hAnsi="Montserrat" w:cs="Times New Roman"/>
          <w:sz w:val="22"/>
          <w:szCs w:val="22"/>
        </w:rPr>
        <w:t>decir,</w:t>
      </w:r>
      <w:r w:rsidRPr="000E3D68">
        <w:rPr>
          <w:rFonts w:ascii="Montserrat" w:hAnsi="Montserrat" w:cs="Times New Roman"/>
          <w:sz w:val="22"/>
          <w:szCs w:val="22"/>
        </w:rPr>
        <w:t xml:space="preserve"> si es</w:t>
      </w:r>
      <w:bookmarkStart w:id="0" w:name="_GoBack"/>
      <w:bookmarkEnd w:id="0"/>
      <w:r w:rsidRPr="000E3D68">
        <w:rPr>
          <w:rFonts w:ascii="Montserrat" w:hAnsi="Montserrat" w:cs="Times New Roman"/>
          <w:sz w:val="22"/>
          <w:szCs w:val="22"/>
        </w:rPr>
        <w:t xml:space="preserve"> porcentaje, tasa de variación</w:t>
      </w:r>
      <w:r w:rsidR="00BA7EDD">
        <w:rPr>
          <w:rFonts w:ascii="Montserrat" w:hAnsi="Montserrat" w:cs="Times New Roman"/>
          <w:sz w:val="22"/>
          <w:szCs w:val="22"/>
        </w:rPr>
        <w:t xml:space="preserve"> o</w:t>
      </w:r>
      <w:r w:rsidRPr="000E3D68">
        <w:rPr>
          <w:rFonts w:ascii="Montserrat" w:hAnsi="Montserrat" w:cs="Times New Roman"/>
          <w:sz w:val="22"/>
          <w:szCs w:val="22"/>
        </w:rPr>
        <w:t xml:space="preserve"> promedio</w:t>
      </w:r>
      <w:r w:rsidR="006F7454">
        <w:rPr>
          <w:rFonts w:ascii="Montserrat" w:hAnsi="Montserrat" w:cs="Times New Roman"/>
          <w:sz w:val="22"/>
          <w:szCs w:val="22"/>
        </w:rPr>
        <w:t>.</w:t>
      </w:r>
      <w:r w:rsidRPr="000E3D68">
        <w:rPr>
          <w:rFonts w:ascii="Montserrat" w:hAnsi="Montserrat" w:cs="Times New Roman"/>
          <w:sz w:val="22"/>
          <w:szCs w:val="22"/>
        </w:rPr>
        <w:t xml:space="preserve"> </w:t>
      </w:r>
      <w:r w:rsidR="006F7454">
        <w:rPr>
          <w:rFonts w:ascii="Montserrat" w:hAnsi="Montserrat" w:cs="Times New Roman"/>
          <w:sz w:val="22"/>
          <w:szCs w:val="22"/>
        </w:rPr>
        <w:t>C</w:t>
      </w:r>
      <w:r w:rsidRPr="000E3D68">
        <w:rPr>
          <w:rFonts w:ascii="Montserrat" w:hAnsi="Montserrat" w:cs="Times New Roman"/>
          <w:sz w:val="22"/>
          <w:szCs w:val="22"/>
        </w:rPr>
        <w:t xml:space="preserve">on base </w:t>
      </w:r>
      <w:r w:rsidR="006F7454">
        <w:rPr>
          <w:rFonts w:ascii="Montserrat" w:hAnsi="Montserrat" w:cs="Times New Roman"/>
          <w:sz w:val="22"/>
          <w:szCs w:val="22"/>
        </w:rPr>
        <w:t xml:space="preserve">en </w:t>
      </w:r>
      <w:r w:rsidRPr="000E3D68">
        <w:rPr>
          <w:rFonts w:ascii="Montserrat" w:hAnsi="Montserrat" w:cs="Times New Roman"/>
          <w:sz w:val="22"/>
          <w:szCs w:val="22"/>
        </w:rPr>
        <w:t>estos elementos</w:t>
      </w:r>
      <w:r w:rsidR="006F7454">
        <w:rPr>
          <w:rFonts w:ascii="Montserrat" w:hAnsi="Montserrat" w:cs="Times New Roman"/>
          <w:sz w:val="22"/>
          <w:szCs w:val="22"/>
        </w:rPr>
        <w:t>,</w:t>
      </w:r>
      <w:r w:rsidRPr="000E3D68">
        <w:rPr>
          <w:rFonts w:ascii="Montserrat" w:hAnsi="Montserrat" w:cs="Times New Roman"/>
          <w:sz w:val="22"/>
          <w:szCs w:val="22"/>
        </w:rPr>
        <w:t xml:space="preserve"> se de</w:t>
      </w:r>
      <w:r w:rsidR="006F7454">
        <w:rPr>
          <w:rFonts w:ascii="Montserrat" w:hAnsi="Montserrat" w:cs="Times New Roman"/>
          <w:sz w:val="22"/>
          <w:szCs w:val="22"/>
        </w:rPr>
        <w:t>fine</w:t>
      </w:r>
      <w:r w:rsidRPr="000E3D68">
        <w:rPr>
          <w:rFonts w:ascii="Montserrat" w:hAnsi="Montserrat" w:cs="Times New Roman"/>
          <w:sz w:val="22"/>
          <w:szCs w:val="22"/>
        </w:rPr>
        <w:t xml:space="preserve"> el tipo de fórmula con la que se determina el porcentaje de cumplimiento. </w:t>
      </w:r>
      <w:r w:rsidR="006F7454">
        <w:rPr>
          <w:rFonts w:ascii="Montserrat" w:hAnsi="Montserrat" w:cs="Times New Roman"/>
          <w:sz w:val="22"/>
          <w:szCs w:val="22"/>
        </w:rPr>
        <w:t>Para ello</w:t>
      </w:r>
      <w:r w:rsidRPr="000E3D68">
        <w:rPr>
          <w:rFonts w:ascii="Montserrat" w:hAnsi="Montserrat" w:cs="Times New Roman"/>
          <w:sz w:val="22"/>
          <w:szCs w:val="22"/>
        </w:rPr>
        <w:t>, se genera un cociente entre la meta alcanzada con respecto a la meta planeada para el trimestre correspondiente, multiplicado por 100 a fin de expresarse como porcentaje.</w:t>
      </w:r>
    </w:p>
    <w:p w14:paraId="070B08D8" w14:textId="77777777" w:rsidR="00ED25C1" w:rsidRPr="008A3990" w:rsidRDefault="00ED25C1" w:rsidP="00ED25C1">
      <w:pPr>
        <w:jc w:val="both"/>
        <w:rPr>
          <w:rFonts w:ascii="Montserrat" w:hAnsi="Montserrat" w:cs="Times New Roman"/>
          <w:sz w:val="22"/>
          <w:szCs w:val="22"/>
        </w:rPr>
      </w:pPr>
    </w:p>
    <w:p w14:paraId="4D5EEB7C" w14:textId="77777777" w:rsidR="00ED25C1" w:rsidRPr="008A3990" w:rsidRDefault="00ED25C1" w:rsidP="00ED25C1">
      <w:pPr>
        <w:jc w:val="both"/>
        <w:rPr>
          <w:rFonts w:ascii="Montserrat" w:hAnsi="Montserrat" w:cs="Times New Roman"/>
          <w:sz w:val="22"/>
          <w:szCs w:val="22"/>
        </w:rPr>
      </w:pPr>
      <w:r w:rsidRPr="008A3990">
        <w:rPr>
          <w:rFonts w:ascii="Montserrat" w:hAnsi="Montserrat" w:cs="Times New Roman"/>
          <w:sz w:val="22"/>
          <w:szCs w:val="22"/>
        </w:rPr>
        <w:t>Los rangos para evaluar el desempeño de los programas presupuestarios son los siguientes:</w:t>
      </w:r>
    </w:p>
    <w:p w14:paraId="4D7CC38C" w14:textId="77777777" w:rsidR="00ED25C1" w:rsidRPr="008A3990" w:rsidRDefault="00ED25C1" w:rsidP="00ED25C1">
      <w:pPr>
        <w:jc w:val="both"/>
        <w:rPr>
          <w:rFonts w:ascii="Montserrat" w:hAnsi="Montserrat" w:cs="Times New Roman"/>
          <w:sz w:val="22"/>
          <w:szCs w:val="22"/>
        </w:rPr>
      </w:pPr>
    </w:p>
    <w:p w14:paraId="4666A0FC" w14:textId="77777777" w:rsidR="00ED25C1" w:rsidRPr="008A3990" w:rsidRDefault="00ED25C1" w:rsidP="00ED25C1">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6A3AB631" w14:textId="77777777" w:rsidR="00ED25C1" w:rsidRPr="008A3990" w:rsidRDefault="00ED25C1" w:rsidP="00ED25C1">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Cuando el indicador tiene un desempeño menor al 80 por ciento, la meta alcanzada es mucho menor a la meta planeada</w:t>
      </w:r>
    </w:p>
    <w:p w14:paraId="696C5D0D" w14:textId="77777777" w:rsidR="00ED25C1" w:rsidRPr="008A3990" w:rsidRDefault="00ED25C1" w:rsidP="00ED25C1">
      <w:pPr>
        <w:pStyle w:val="Prrafodelista"/>
        <w:numPr>
          <w:ilvl w:val="0"/>
          <w:numId w:val="2"/>
        </w:numPr>
        <w:jc w:val="both"/>
        <w:rPr>
          <w:rFonts w:ascii="Montserrat" w:hAnsi="Montserrat" w:cs="Times New Roman"/>
          <w:sz w:val="22"/>
          <w:szCs w:val="22"/>
        </w:rPr>
      </w:pPr>
      <w:r w:rsidRPr="008A3990">
        <w:rPr>
          <w:rFonts w:ascii="Montserrat" w:hAnsi="Montserrat" w:cs="Times New Roman"/>
          <w:sz w:val="22"/>
          <w:szCs w:val="22"/>
        </w:rPr>
        <w:t>Si el indicador es superior al 115 por ciento, denota que la meta alcanzada es mucho mayor que la planeada.</w:t>
      </w:r>
    </w:p>
    <w:p w14:paraId="7D3AA119" w14:textId="77777777" w:rsidR="00ED25C1" w:rsidRPr="008A3990" w:rsidRDefault="00ED25C1" w:rsidP="00ED25C1">
      <w:pPr>
        <w:jc w:val="both"/>
        <w:rPr>
          <w:rFonts w:ascii="Montserrat" w:hAnsi="Montserrat" w:cs="Times New Roman"/>
          <w:sz w:val="22"/>
          <w:szCs w:val="22"/>
        </w:rPr>
      </w:pPr>
    </w:p>
    <w:p w14:paraId="4D433311" w14:textId="77777777" w:rsidR="00ED25C1" w:rsidRPr="008A3990" w:rsidRDefault="00ED25C1" w:rsidP="00ED25C1">
      <w:pPr>
        <w:jc w:val="both"/>
        <w:rPr>
          <w:rFonts w:ascii="Montserrat" w:hAnsi="Montserrat" w:cs="Times New Roman"/>
          <w:noProof/>
          <w:color w:val="FF0000"/>
          <w:sz w:val="22"/>
          <w:szCs w:val="22"/>
          <w:lang w:val="es-MX" w:eastAsia="es-MX"/>
        </w:rPr>
      </w:pPr>
      <w:r w:rsidRPr="008A3990">
        <w:rPr>
          <w:rFonts w:ascii="Montserrat" w:hAnsi="Montserrat" w:cs="Times New Roman"/>
          <w:sz w:val="22"/>
          <w:szCs w:val="22"/>
        </w:rPr>
        <w:t>En los dos últimos casos se sugiere mejorar la planificación de las metas a efecto de contar con un buen desempeño del indicador.</w:t>
      </w:r>
    </w:p>
    <w:p w14:paraId="260AFE1A" w14:textId="77777777" w:rsidR="000E3D68" w:rsidRDefault="000E3D68" w:rsidP="00ED25C1">
      <w:pPr>
        <w:jc w:val="both"/>
        <w:rPr>
          <w:rFonts w:ascii="Montserrat" w:hAnsi="Montserrat" w:cs="Times New Roman"/>
          <w:sz w:val="22"/>
          <w:szCs w:val="22"/>
        </w:rPr>
      </w:pPr>
    </w:p>
    <w:p w14:paraId="0EC2E6A4" w14:textId="77777777" w:rsidR="00ED25C1" w:rsidRDefault="00ED25C1" w:rsidP="00ED25C1">
      <w:pPr>
        <w:jc w:val="both"/>
        <w:rPr>
          <w:rFonts w:ascii="Montserrat" w:hAnsi="Montserrat" w:cs="Times New Roman"/>
          <w:sz w:val="22"/>
          <w:szCs w:val="22"/>
        </w:rPr>
      </w:pPr>
      <w:r w:rsidRPr="008A3990">
        <w:rPr>
          <w:rFonts w:ascii="Montserrat" w:hAnsi="Montserrat" w:cs="Times New Roman"/>
          <w:sz w:val="22"/>
          <w:szCs w:val="22"/>
        </w:rPr>
        <w:lastRenderedPageBreak/>
        <w:t>Como aspectos relevantes del balance del 4° trimestre de 202</w:t>
      </w:r>
      <w:r w:rsidR="000E3D68">
        <w:rPr>
          <w:rFonts w:ascii="Montserrat" w:hAnsi="Montserrat" w:cs="Times New Roman"/>
          <w:sz w:val="22"/>
          <w:szCs w:val="22"/>
        </w:rPr>
        <w:t>2</w:t>
      </w:r>
      <w:r w:rsidRPr="008A3990">
        <w:rPr>
          <w:rFonts w:ascii="Montserrat" w:hAnsi="Montserrat" w:cs="Times New Roman"/>
          <w:sz w:val="22"/>
          <w:szCs w:val="22"/>
        </w:rPr>
        <w:t>, en los cuadros 1 y 2 se exponen los siguientes hallazgos</w:t>
      </w:r>
      <w:r w:rsidR="00E55F9E">
        <w:rPr>
          <w:rFonts w:ascii="Montserrat" w:hAnsi="Montserrat" w:cs="Times New Roman"/>
          <w:sz w:val="22"/>
          <w:szCs w:val="22"/>
        </w:rPr>
        <w:t>.</w:t>
      </w:r>
    </w:p>
    <w:p w14:paraId="6616E815" w14:textId="77777777" w:rsidR="000E3D68" w:rsidRPr="008A3990" w:rsidRDefault="000E3D68" w:rsidP="00ED25C1">
      <w:pPr>
        <w:jc w:val="both"/>
        <w:rPr>
          <w:rFonts w:ascii="Montserrat" w:hAnsi="Montserrat" w:cs="Times New Roman"/>
          <w:sz w:val="22"/>
          <w:szCs w:val="22"/>
        </w:rPr>
      </w:pPr>
    </w:p>
    <w:tbl>
      <w:tblPr>
        <w:tblW w:w="10234" w:type="dxa"/>
        <w:tblCellMar>
          <w:left w:w="70" w:type="dxa"/>
          <w:right w:w="70" w:type="dxa"/>
        </w:tblCellMar>
        <w:tblLook w:val="04A0" w:firstRow="1" w:lastRow="0" w:firstColumn="1" w:lastColumn="0" w:noHBand="0" w:noVBand="1"/>
      </w:tblPr>
      <w:tblGrid>
        <w:gridCol w:w="3569"/>
        <w:gridCol w:w="1715"/>
        <w:gridCol w:w="1731"/>
        <w:gridCol w:w="1594"/>
        <w:gridCol w:w="1625"/>
      </w:tblGrid>
      <w:tr w:rsidR="000E3D68" w:rsidRPr="000E3D68" w14:paraId="7E5C3B17" w14:textId="77777777" w:rsidTr="000E3D68">
        <w:trPr>
          <w:trHeight w:val="277"/>
        </w:trPr>
        <w:tc>
          <w:tcPr>
            <w:tcW w:w="10234" w:type="dxa"/>
            <w:gridSpan w:val="5"/>
            <w:tcBorders>
              <w:top w:val="nil"/>
              <w:left w:val="nil"/>
              <w:bottom w:val="nil"/>
              <w:right w:val="nil"/>
            </w:tcBorders>
            <w:shd w:val="clear" w:color="000000" w:fill="FFFFFF"/>
            <w:vAlign w:val="center"/>
            <w:hideMark/>
          </w:tcPr>
          <w:p w14:paraId="17D26AE9" w14:textId="77777777" w:rsidR="000E3D68" w:rsidRPr="000E3D68" w:rsidRDefault="000E3D68" w:rsidP="001C52C5">
            <w:pPr>
              <w:jc w:val="center"/>
              <w:rPr>
                <w:rFonts w:ascii="Montserrat" w:eastAsia="Times New Roman" w:hAnsi="Montserrat" w:cs="Calibri"/>
                <w:b/>
                <w:bCs/>
                <w:color w:val="000000"/>
                <w:szCs w:val="20"/>
                <w:lang w:val="es-MX" w:eastAsia="es-MX"/>
              </w:rPr>
            </w:pPr>
            <w:r w:rsidRPr="000E3D68">
              <w:rPr>
                <w:rFonts w:ascii="Montserrat" w:eastAsia="Times New Roman" w:hAnsi="Montserrat" w:cs="Calibri"/>
                <w:b/>
                <w:bCs/>
                <w:color w:val="000000"/>
                <w:szCs w:val="20"/>
                <w:lang w:val="es-MX" w:eastAsia="es-MX"/>
              </w:rPr>
              <w:t xml:space="preserve">Cuadro 1: Cumplimiento de las metas al cuarto trimestre de 2022 de los Indicadores de las MIR del </w:t>
            </w:r>
            <w:r w:rsidR="007729D2">
              <w:rPr>
                <w:rFonts w:ascii="Montserrat" w:eastAsia="Times New Roman" w:hAnsi="Montserrat" w:cs="Calibri"/>
                <w:b/>
                <w:bCs/>
                <w:color w:val="000000"/>
                <w:szCs w:val="20"/>
                <w:lang w:val="es-MX" w:eastAsia="es-MX"/>
              </w:rPr>
              <w:t>Conacyt</w:t>
            </w:r>
          </w:p>
        </w:tc>
      </w:tr>
      <w:tr w:rsidR="000E3D68" w:rsidRPr="000E3D68" w14:paraId="6376419D" w14:textId="77777777" w:rsidTr="000E3D68">
        <w:trPr>
          <w:trHeight w:val="277"/>
        </w:trPr>
        <w:tc>
          <w:tcPr>
            <w:tcW w:w="3569" w:type="dxa"/>
            <w:tcBorders>
              <w:top w:val="nil"/>
              <w:left w:val="nil"/>
              <w:bottom w:val="nil"/>
              <w:right w:val="nil"/>
            </w:tcBorders>
            <w:shd w:val="clear" w:color="000000" w:fill="FFFFFF"/>
            <w:vAlign w:val="center"/>
            <w:hideMark/>
          </w:tcPr>
          <w:p w14:paraId="3353E861"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715" w:type="dxa"/>
            <w:tcBorders>
              <w:top w:val="nil"/>
              <w:left w:val="nil"/>
              <w:bottom w:val="nil"/>
              <w:right w:val="nil"/>
            </w:tcBorders>
            <w:shd w:val="clear" w:color="000000" w:fill="FFFFFF"/>
            <w:vAlign w:val="center"/>
            <w:hideMark/>
          </w:tcPr>
          <w:p w14:paraId="35069101"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731" w:type="dxa"/>
            <w:tcBorders>
              <w:top w:val="nil"/>
              <w:left w:val="nil"/>
              <w:bottom w:val="nil"/>
              <w:right w:val="nil"/>
            </w:tcBorders>
            <w:shd w:val="clear" w:color="000000" w:fill="FFFFFF"/>
            <w:vAlign w:val="center"/>
            <w:hideMark/>
          </w:tcPr>
          <w:p w14:paraId="57F59CF1"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593" w:type="dxa"/>
            <w:tcBorders>
              <w:top w:val="nil"/>
              <w:left w:val="nil"/>
              <w:bottom w:val="nil"/>
              <w:right w:val="nil"/>
            </w:tcBorders>
            <w:shd w:val="clear" w:color="000000" w:fill="FFFFFF"/>
            <w:vAlign w:val="center"/>
            <w:hideMark/>
          </w:tcPr>
          <w:p w14:paraId="0492B1A1"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623" w:type="dxa"/>
            <w:tcBorders>
              <w:top w:val="nil"/>
              <w:left w:val="nil"/>
              <w:bottom w:val="nil"/>
              <w:right w:val="nil"/>
            </w:tcBorders>
            <w:shd w:val="clear" w:color="000000" w:fill="FFFFFF"/>
            <w:vAlign w:val="center"/>
            <w:hideMark/>
          </w:tcPr>
          <w:p w14:paraId="0AB52C6E"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r>
      <w:tr w:rsidR="000E3D68" w:rsidRPr="000E3D68" w14:paraId="2F40DA5C" w14:textId="77777777" w:rsidTr="000E3D68">
        <w:trPr>
          <w:trHeight w:val="388"/>
        </w:trPr>
        <w:tc>
          <w:tcPr>
            <w:tcW w:w="3569" w:type="dxa"/>
            <w:vMerge w:val="restart"/>
            <w:tcBorders>
              <w:top w:val="single" w:sz="4" w:space="0" w:color="1F5045"/>
              <w:left w:val="single" w:sz="4" w:space="0" w:color="1F5045"/>
              <w:bottom w:val="single" w:sz="4" w:space="0" w:color="1F5045"/>
              <w:right w:val="single" w:sz="4" w:space="0" w:color="1F5045"/>
            </w:tcBorders>
            <w:shd w:val="clear" w:color="000000" w:fill="318270"/>
            <w:vAlign w:val="center"/>
            <w:hideMark/>
          </w:tcPr>
          <w:p w14:paraId="4AC01314"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Programa presupuestario (Modalidad y nombre)</w:t>
            </w:r>
          </w:p>
        </w:tc>
        <w:tc>
          <w:tcPr>
            <w:tcW w:w="5040" w:type="dxa"/>
            <w:gridSpan w:val="3"/>
            <w:tcBorders>
              <w:top w:val="single" w:sz="4" w:space="0" w:color="1F5045"/>
              <w:left w:val="nil"/>
              <w:bottom w:val="single" w:sz="4" w:space="0" w:color="1F5045"/>
              <w:right w:val="single" w:sz="4" w:space="0" w:color="1F5045"/>
            </w:tcBorders>
            <w:shd w:val="clear" w:color="000000" w:fill="318270"/>
            <w:noWrap/>
            <w:vAlign w:val="center"/>
            <w:hideMark/>
          </w:tcPr>
          <w:p w14:paraId="45A8C773"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 xml:space="preserve">Indicadores por tipo </w:t>
            </w:r>
            <w:r w:rsidR="00185D32" w:rsidRPr="000E3D68">
              <w:rPr>
                <w:rFonts w:ascii="Montserrat" w:eastAsia="Times New Roman" w:hAnsi="Montserrat" w:cs="Calibri"/>
                <w:b/>
                <w:bCs/>
                <w:color w:val="FFFFFF"/>
                <w:sz w:val="18"/>
                <w:szCs w:val="18"/>
                <w:lang w:val="es-MX" w:eastAsia="es-MX"/>
              </w:rPr>
              <w:t>de cumplimiento</w:t>
            </w:r>
            <w:r w:rsidRPr="000E3D68">
              <w:rPr>
                <w:rFonts w:ascii="Montserrat" w:eastAsia="Times New Roman" w:hAnsi="Montserrat" w:cs="Calibri"/>
                <w:b/>
                <w:bCs/>
                <w:color w:val="FFFFFF"/>
                <w:sz w:val="18"/>
                <w:szCs w:val="18"/>
                <w:lang w:val="es-MX" w:eastAsia="es-MX"/>
              </w:rPr>
              <w:t xml:space="preserve"> de la meta</w:t>
            </w:r>
          </w:p>
        </w:tc>
        <w:tc>
          <w:tcPr>
            <w:tcW w:w="1623" w:type="dxa"/>
            <w:vMerge w:val="restart"/>
            <w:tcBorders>
              <w:top w:val="single" w:sz="4" w:space="0" w:color="1F5045"/>
              <w:left w:val="single" w:sz="4" w:space="0" w:color="1F5045"/>
              <w:bottom w:val="single" w:sz="4" w:space="0" w:color="1F5045"/>
              <w:right w:val="single" w:sz="4" w:space="0" w:color="1F5045"/>
            </w:tcBorders>
            <w:shd w:val="clear" w:color="000000" w:fill="318270"/>
            <w:noWrap/>
            <w:vAlign w:val="center"/>
            <w:hideMark/>
          </w:tcPr>
          <w:p w14:paraId="76F850CE"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Total</w:t>
            </w:r>
          </w:p>
        </w:tc>
      </w:tr>
      <w:tr w:rsidR="000E3D68" w:rsidRPr="000E3D68" w14:paraId="499B9880" w14:textId="77777777" w:rsidTr="000E3D68">
        <w:trPr>
          <w:trHeight w:val="748"/>
        </w:trPr>
        <w:tc>
          <w:tcPr>
            <w:tcW w:w="3569" w:type="dxa"/>
            <w:vMerge/>
            <w:tcBorders>
              <w:top w:val="single" w:sz="4" w:space="0" w:color="1F5045"/>
              <w:left w:val="single" w:sz="4" w:space="0" w:color="1F5045"/>
              <w:bottom w:val="single" w:sz="4" w:space="0" w:color="1F5045"/>
              <w:right w:val="single" w:sz="4" w:space="0" w:color="1F5045"/>
            </w:tcBorders>
            <w:vAlign w:val="center"/>
            <w:hideMark/>
          </w:tcPr>
          <w:p w14:paraId="6605C812" w14:textId="77777777" w:rsidR="000E3D68" w:rsidRPr="000E3D68" w:rsidRDefault="000E3D68" w:rsidP="000E3D68">
            <w:pPr>
              <w:rPr>
                <w:rFonts w:ascii="Montserrat" w:eastAsia="Times New Roman" w:hAnsi="Montserrat" w:cs="Calibri"/>
                <w:b/>
                <w:bCs/>
                <w:color w:val="FFFFFF"/>
                <w:sz w:val="18"/>
                <w:szCs w:val="18"/>
                <w:lang w:val="es-MX" w:eastAsia="es-MX"/>
              </w:rPr>
            </w:pPr>
          </w:p>
        </w:tc>
        <w:tc>
          <w:tcPr>
            <w:tcW w:w="1715" w:type="dxa"/>
            <w:tcBorders>
              <w:top w:val="nil"/>
              <w:left w:val="nil"/>
              <w:bottom w:val="single" w:sz="4" w:space="0" w:color="1F5045"/>
              <w:right w:val="single" w:sz="4" w:space="0" w:color="1F5045"/>
            </w:tcBorders>
            <w:shd w:val="clear" w:color="000000" w:fill="318270"/>
            <w:vAlign w:val="center"/>
            <w:hideMark/>
          </w:tcPr>
          <w:p w14:paraId="06D953C7"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Indicadores menores al 80%</w:t>
            </w:r>
          </w:p>
        </w:tc>
        <w:tc>
          <w:tcPr>
            <w:tcW w:w="1731" w:type="dxa"/>
            <w:tcBorders>
              <w:top w:val="nil"/>
              <w:left w:val="nil"/>
              <w:bottom w:val="single" w:sz="4" w:space="0" w:color="1F5045"/>
              <w:right w:val="single" w:sz="4" w:space="0" w:color="1F5045"/>
            </w:tcBorders>
            <w:shd w:val="clear" w:color="000000" w:fill="318270"/>
            <w:vAlign w:val="center"/>
            <w:hideMark/>
          </w:tcPr>
          <w:p w14:paraId="5A6FA8B9"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Indicadores entre 80% y 115%</w:t>
            </w:r>
          </w:p>
        </w:tc>
        <w:tc>
          <w:tcPr>
            <w:tcW w:w="1593" w:type="dxa"/>
            <w:tcBorders>
              <w:top w:val="nil"/>
              <w:left w:val="nil"/>
              <w:bottom w:val="single" w:sz="4" w:space="0" w:color="1F5045"/>
              <w:right w:val="single" w:sz="4" w:space="0" w:color="1F5045"/>
            </w:tcBorders>
            <w:shd w:val="clear" w:color="000000" w:fill="318270"/>
            <w:vAlign w:val="center"/>
            <w:hideMark/>
          </w:tcPr>
          <w:p w14:paraId="08A89A3A"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Indicadores mayores al 115%</w:t>
            </w:r>
          </w:p>
        </w:tc>
        <w:tc>
          <w:tcPr>
            <w:tcW w:w="1623" w:type="dxa"/>
            <w:vMerge/>
            <w:tcBorders>
              <w:top w:val="single" w:sz="4" w:space="0" w:color="1F5045"/>
              <w:left w:val="single" w:sz="4" w:space="0" w:color="1F5045"/>
              <w:bottom w:val="single" w:sz="4" w:space="0" w:color="1F5045"/>
              <w:right w:val="single" w:sz="4" w:space="0" w:color="1F5045"/>
            </w:tcBorders>
            <w:vAlign w:val="center"/>
            <w:hideMark/>
          </w:tcPr>
          <w:p w14:paraId="47314E74" w14:textId="77777777" w:rsidR="000E3D68" w:rsidRPr="000E3D68" w:rsidRDefault="000E3D68" w:rsidP="000E3D68">
            <w:pPr>
              <w:rPr>
                <w:rFonts w:ascii="Montserrat" w:eastAsia="Times New Roman" w:hAnsi="Montserrat" w:cs="Calibri"/>
                <w:b/>
                <w:bCs/>
                <w:color w:val="FFFFFF"/>
                <w:sz w:val="18"/>
                <w:szCs w:val="18"/>
                <w:lang w:val="es-MX" w:eastAsia="es-MX"/>
              </w:rPr>
            </w:pPr>
          </w:p>
        </w:tc>
      </w:tr>
      <w:tr w:rsidR="000E3D68" w:rsidRPr="000E3D68" w14:paraId="72148731" w14:textId="77777777" w:rsidTr="000E3D68">
        <w:trPr>
          <w:trHeight w:val="499"/>
        </w:trPr>
        <w:tc>
          <w:tcPr>
            <w:tcW w:w="3569" w:type="dxa"/>
            <w:tcBorders>
              <w:top w:val="nil"/>
              <w:left w:val="nil"/>
              <w:bottom w:val="nil"/>
              <w:right w:val="nil"/>
            </w:tcBorders>
            <w:shd w:val="clear" w:color="000000" w:fill="FFFFFF"/>
            <w:vAlign w:val="center"/>
            <w:hideMark/>
          </w:tcPr>
          <w:p w14:paraId="7136309A" w14:textId="77777777" w:rsidR="000E3D68" w:rsidRPr="000E3D68" w:rsidRDefault="000E3D68" w:rsidP="000E3D68">
            <w:pP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 xml:space="preserve">E003: </w:t>
            </w:r>
            <w:r w:rsidRPr="000E3D68">
              <w:rPr>
                <w:rFonts w:ascii="Montserrat" w:eastAsia="Times New Roman" w:hAnsi="Montserrat" w:cs="Calibri"/>
                <w:color w:val="000000"/>
                <w:sz w:val="18"/>
                <w:szCs w:val="18"/>
                <w:lang w:val="es-MX" w:eastAsia="es-MX"/>
              </w:rPr>
              <w:t>Investigación científica, desarrollo e innovación</w:t>
            </w:r>
          </w:p>
        </w:tc>
        <w:tc>
          <w:tcPr>
            <w:tcW w:w="1715" w:type="dxa"/>
            <w:tcBorders>
              <w:top w:val="nil"/>
              <w:left w:val="nil"/>
              <w:bottom w:val="nil"/>
              <w:right w:val="nil"/>
            </w:tcBorders>
            <w:shd w:val="clear" w:color="000000" w:fill="FFFFFF"/>
            <w:noWrap/>
            <w:vAlign w:val="center"/>
            <w:hideMark/>
          </w:tcPr>
          <w:p w14:paraId="46F37670"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731" w:type="dxa"/>
            <w:tcBorders>
              <w:top w:val="nil"/>
              <w:left w:val="nil"/>
              <w:bottom w:val="nil"/>
              <w:right w:val="nil"/>
            </w:tcBorders>
            <w:shd w:val="clear" w:color="000000" w:fill="FFFFFF"/>
            <w:noWrap/>
            <w:vAlign w:val="center"/>
            <w:hideMark/>
          </w:tcPr>
          <w:p w14:paraId="05136F26"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12</w:t>
            </w:r>
          </w:p>
        </w:tc>
        <w:tc>
          <w:tcPr>
            <w:tcW w:w="1593" w:type="dxa"/>
            <w:tcBorders>
              <w:top w:val="nil"/>
              <w:left w:val="nil"/>
              <w:bottom w:val="nil"/>
              <w:right w:val="nil"/>
            </w:tcBorders>
            <w:shd w:val="clear" w:color="000000" w:fill="FFFFFF"/>
            <w:noWrap/>
            <w:vAlign w:val="center"/>
            <w:hideMark/>
          </w:tcPr>
          <w:p w14:paraId="559BAAB8"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w:t>
            </w:r>
          </w:p>
        </w:tc>
        <w:tc>
          <w:tcPr>
            <w:tcW w:w="1623" w:type="dxa"/>
            <w:tcBorders>
              <w:top w:val="nil"/>
              <w:left w:val="nil"/>
              <w:bottom w:val="nil"/>
              <w:right w:val="nil"/>
            </w:tcBorders>
            <w:shd w:val="clear" w:color="000000" w:fill="FFFFFF"/>
            <w:noWrap/>
            <w:vAlign w:val="center"/>
            <w:hideMark/>
          </w:tcPr>
          <w:p w14:paraId="4FF12B3C"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13</w:t>
            </w:r>
          </w:p>
        </w:tc>
      </w:tr>
      <w:tr w:rsidR="000E3D68" w:rsidRPr="000E3D68" w14:paraId="3E70C7AB" w14:textId="77777777" w:rsidTr="000E3D68">
        <w:trPr>
          <w:trHeight w:val="748"/>
        </w:trPr>
        <w:tc>
          <w:tcPr>
            <w:tcW w:w="3569" w:type="dxa"/>
            <w:tcBorders>
              <w:top w:val="nil"/>
              <w:left w:val="nil"/>
              <w:bottom w:val="nil"/>
              <w:right w:val="nil"/>
            </w:tcBorders>
            <w:shd w:val="clear" w:color="000000" w:fill="FFFFFF"/>
            <w:vAlign w:val="center"/>
            <w:hideMark/>
          </w:tcPr>
          <w:p w14:paraId="1893604F"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F003</w:t>
            </w:r>
            <w:r w:rsidRPr="000E3D68">
              <w:rPr>
                <w:rFonts w:ascii="Montserrat" w:eastAsia="Times New Roman" w:hAnsi="Montserrat" w:cs="Calibri"/>
                <w:color w:val="000000"/>
                <w:sz w:val="18"/>
                <w:szCs w:val="18"/>
                <w:lang w:val="es-MX" w:eastAsia="es-MX"/>
              </w:rPr>
              <w:t>: Programas nacionales estratégicos de ciencia, tecnología y vinculación con el sector social, público y privado.</w:t>
            </w:r>
          </w:p>
        </w:tc>
        <w:tc>
          <w:tcPr>
            <w:tcW w:w="1715" w:type="dxa"/>
            <w:tcBorders>
              <w:top w:val="nil"/>
              <w:left w:val="nil"/>
              <w:bottom w:val="nil"/>
              <w:right w:val="nil"/>
            </w:tcBorders>
            <w:shd w:val="clear" w:color="000000" w:fill="FFFFFF"/>
            <w:noWrap/>
            <w:vAlign w:val="center"/>
            <w:hideMark/>
          </w:tcPr>
          <w:p w14:paraId="68E273C3"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3</w:t>
            </w:r>
          </w:p>
        </w:tc>
        <w:tc>
          <w:tcPr>
            <w:tcW w:w="1731" w:type="dxa"/>
            <w:tcBorders>
              <w:top w:val="nil"/>
              <w:left w:val="nil"/>
              <w:bottom w:val="nil"/>
              <w:right w:val="nil"/>
            </w:tcBorders>
            <w:shd w:val="clear" w:color="000000" w:fill="FFFFFF"/>
            <w:noWrap/>
            <w:vAlign w:val="center"/>
            <w:hideMark/>
          </w:tcPr>
          <w:p w14:paraId="5280017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6</w:t>
            </w:r>
          </w:p>
        </w:tc>
        <w:tc>
          <w:tcPr>
            <w:tcW w:w="1593" w:type="dxa"/>
            <w:tcBorders>
              <w:top w:val="nil"/>
              <w:left w:val="nil"/>
              <w:bottom w:val="nil"/>
              <w:right w:val="nil"/>
            </w:tcBorders>
            <w:shd w:val="clear" w:color="000000" w:fill="FFFFFF"/>
            <w:noWrap/>
            <w:vAlign w:val="center"/>
            <w:hideMark/>
          </w:tcPr>
          <w:p w14:paraId="13C5153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w:t>
            </w:r>
          </w:p>
        </w:tc>
        <w:tc>
          <w:tcPr>
            <w:tcW w:w="1623" w:type="dxa"/>
            <w:tcBorders>
              <w:top w:val="nil"/>
              <w:left w:val="nil"/>
              <w:bottom w:val="nil"/>
              <w:right w:val="nil"/>
            </w:tcBorders>
            <w:shd w:val="clear" w:color="000000" w:fill="FFFFFF"/>
            <w:noWrap/>
            <w:vAlign w:val="center"/>
            <w:hideMark/>
          </w:tcPr>
          <w:p w14:paraId="0ACB9070"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w:t>
            </w:r>
          </w:p>
        </w:tc>
      </w:tr>
      <w:tr w:rsidR="000E3D68" w:rsidRPr="000E3D68" w14:paraId="1BAE0F3B" w14:textId="77777777" w:rsidTr="000E3D68">
        <w:trPr>
          <w:trHeight w:val="499"/>
        </w:trPr>
        <w:tc>
          <w:tcPr>
            <w:tcW w:w="3569" w:type="dxa"/>
            <w:tcBorders>
              <w:top w:val="nil"/>
              <w:left w:val="nil"/>
              <w:bottom w:val="nil"/>
              <w:right w:val="nil"/>
            </w:tcBorders>
            <w:shd w:val="clear" w:color="000000" w:fill="FFFFFF"/>
            <w:vAlign w:val="center"/>
            <w:hideMark/>
          </w:tcPr>
          <w:p w14:paraId="07A8C0B1"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K010:</w:t>
            </w:r>
            <w:r w:rsidRPr="000E3D68">
              <w:rPr>
                <w:rFonts w:ascii="Montserrat" w:eastAsia="Times New Roman" w:hAnsi="Montserrat" w:cs="Calibri"/>
                <w:color w:val="000000"/>
                <w:sz w:val="18"/>
                <w:szCs w:val="18"/>
                <w:lang w:val="es-MX" w:eastAsia="es-MX"/>
              </w:rPr>
              <w:t xml:space="preserve"> Proyectos de infraestructura social de ciencia y tecnología</w:t>
            </w:r>
          </w:p>
        </w:tc>
        <w:tc>
          <w:tcPr>
            <w:tcW w:w="1715" w:type="dxa"/>
            <w:tcBorders>
              <w:top w:val="nil"/>
              <w:left w:val="nil"/>
              <w:bottom w:val="nil"/>
              <w:right w:val="nil"/>
            </w:tcBorders>
            <w:shd w:val="clear" w:color="000000" w:fill="FFFFFF"/>
            <w:noWrap/>
            <w:vAlign w:val="center"/>
            <w:hideMark/>
          </w:tcPr>
          <w:p w14:paraId="6FF50A68"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2</w:t>
            </w:r>
          </w:p>
        </w:tc>
        <w:tc>
          <w:tcPr>
            <w:tcW w:w="1731" w:type="dxa"/>
            <w:tcBorders>
              <w:top w:val="nil"/>
              <w:left w:val="nil"/>
              <w:bottom w:val="nil"/>
              <w:right w:val="nil"/>
            </w:tcBorders>
            <w:shd w:val="clear" w:color="000000" w:fill="FFFFFF"/>
            <w:noWrap/>
            <w:vAlign w:val="center"/>
            <w:hideMark/>
          </w:tcPr>
          <w:p w14:paraId="269D3C42"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5</w:t>
            </w:r>
          </w:p>
        </w:tc>
        <w:tc>
          <w:tcPr>
            <w:tcW w:w="1593" w:type="dxa"/>
            <w:tcBorders>
              <w:top w:val="nil"/>
              <w:left w:val="nil"/>
              <w:bottom w:val="nil"/>
              <w:right w:val="nil"/>
            </w:tcBorders>
            <w:shd w:val="clear" w:color="000000" w:fill="FFFFFF"/>
            <w:noWrap/>
            <w:vAlign w:val="center"/>
            <w:hideMark/>
          </w:tcPr>
          <w:p w14:paraId="791D68D8"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23" w:type="dxa"/>
            <w:tcBorders>
              <w:top w:val="nil"/>
              <w:left w:val="nil"/>
              <w:bottom w:val="nil"/>
              <w:right w:val="nil"/>
            </w:tcBorders>
            <w:shd w:val="clear" w:color="000000" w:fill="FFFFFF"/>
            <w:noWrap/>
            <w:vAlign w:val="center"/>
            <w:hideMark/>
          </w:tcPr>
          <w:p w14:paraId="784C217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7</w:t>
            </w:r>
          </w:p>
        </w:tc>
      </w:tr>
      <w:tr w:rsidR="000E3D68" w:rsidRPr="000E3D68" w14:paraId="2412F52F" w14:textId="77777777" w:rsidTr="000E3D68">
        <w:trPr>
          <w:trHeight w:val="499"/>
        </w:trPr>
        <w:tc>
          <w:tcPr>
            <w:tcW w:w="3569" w:type="dxa"/>
            <w:tcBorders>
              <w:top w:val="nil"/>
              <w:left w:val="nil"/>
              <w:bottom w:val="nil"/>
              <w:right w:val="nil"/>
            </w:tcBorders>
            <w:shd w:val="clear" w:color="000000" w:fill="FFFFFF"/>
            <w:vAlign w:val="center"/>
            <w:hideMark/>
          </w:tcPr>
          <w:p w14:paraId="7F8B1B47"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P001:</w:t>
            </w:r>
            <w:r w:rsidRPr="000E3D68">
              <w:rPr>
                <w:rFonts w:ascii="Montserrat" w:eastAsia="Times New Roman" w:hAnsi="Montserrat" w:cs="Calibri"/>
                <w:color w:val="000000"/>
                <w:sz w:val="18"/>
                <w:szCs w:val="18"/>
                <w:lang w:val="es-MX" w:eastAsia="es-MX"/>
              </w:rPr>
              <w:t xml:space="preserve"> Diseño y evaluación de políticas en ciencia, tecnología e innovación</w:t>
            </w:r>
          </w:p>
        </w:tc>
        <w:tc>
          <w:tcPr>
            <w:tcW w:w="1715" w:type="dxa"/>
            <w:tcBorders>
              <w:top w:val="nil"/>
              <w:left w:val="nil"/>
              <w:bottom w:val="nil"/>
              <w:right w:val="nil"/>
            </w:tcBorders>
            <w:shd w:val="clear" w:color="000000" w:fill="FFFFFF"/>
            <w:noWrap/>
            <w:vAlign w:val="center"/>
            <w:hideMark/>
          </w:tcPr>
          <w:p w14:paraId="16A272A0"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w:t>
            </w:r>
          </w:p>
        </w:tc>
        <w:tc>
          <w:tcPr>
            <w:tcW w:w="1731" w:type="dxa"/>
            <w:tcBorders>
              <w:top w:val="nil"/>
              <w:left w:val="nil"/>
              <w:bottom w:val="nil"/>
              <w:right w:val="nil"/>
            </w:tcBorders>
            <w:shd w:val="clear" w:color="000000" w:fill="FFFFFF"/>
            <w:noWrap/>
            <w:vAlign w:val="center"/>
            <w:hideMark/>
          </w:tcPr>
          <w:p w14:paraId="7114131A"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9</w:t>
            </w:r>
          </w:p>
        </w:tc>
        <w:tc>
          <w:tcPr>
            <w:tcW w:w="1593" w:type="dxa"/>
            <w:tcBorders>
              <w:top w:val="nil"/>
              <w:left w:val="nil"/>
              <w:bottom w:val="nil"/>
              <w:right w:val="nil"/>
            </w:tcBorders>
            <w:shd w:val="clear" w:color="000000" w:fill="FFFFFF"/>
            <w:noWrap/>
            <w:vAlign w:val="center"/>
            <w:hideMark/>
          </w:tcPr>
          <w:p w14:paraId="2A2DC861"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23" w:type="dxa"/>
            <w:tcBorders>
              <w:top w:val="nil"/>
              <w:left w:val="nil"/>
              <w:bottom w:val="nil"/>
              <w:right w:val="nil"/>
            </w:tcBorders>
            <w:shd w:val="clear" w:color="000000" w:fill="FFFFFF"/>
            <w:noWrap/>
            <w:vAlign w:val="center"/>
            <w:hideMark/>
          </w:tcPr>
          <w:p w14:paraId="396CF580"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w:t>
            </w:r>
          </w:p>
        </w:tc>
      </w:tr>
      <w:tr w:rsidR="000E3D68" w:rsidRPr="000E3D68" w14:paraId="04628469" w14:textId="77777777" w:rsidTr="000E3D68">
        <w:trPr>
          <w:trHeight w:val="499"/>
        </w:trPr>
        <w:tc>
          <w:tcPr>
            <w:tcW w:w="3569" w:type="dxa"/>
            <w:tcBorders>
              <w:top w:val="nil"/>
              <w:left w:val="nil"/>
              <w:bottom w:val="nil"/>
              <w:right w:val="nil"/>
            </w:tcBorders>
            <w:shd w:val="clear" w:color="000000" w:fill="FFFFFF"/>
            <w:vAlign w:val="center"/>
            <w:hideMark/>
          </w:tcPr>
          <w:p w14:paraId="0654E312"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S190</w:t>
            </w:r>
            <w:r w:rsidRPr="000E3D68">
              <w:rPr>
                <w:rFonts w:ascii="Montserrat" w:eastAsia="Times New Roman" w:hAnsi="Montserrat" w:cs="Calibri"/>
                <w:color w:val="000000"/>
                <w:sz w:val="18"/>
                <w:szCs w:val="18"/>
                <w:lang w:val="es-MX" w:eastAsia="es-MX"/>
              </w:rPr>
              <w:t>: Becas de posgrado y otras modalidades de apoyo a la calidad</w:t>
            </w:r>
          </w:p>
        </w:tc>
        <w:tc>
          <w:tcPr>
            <w:tcW w:w="1715" w:type="dxa"/>
            <w:tcBorders>
              <w:top w:val="nil"/>
              <w:left w:val="nil"/>
              <w:bottom w:val="nil"/>
              <w:right w:val="nil"/>
            </w:tcBorders>
            <w:shd w:val="clear" w:color="000000" w:fill="FFFFFF"/>
            <w:noWrap/>
            <w:vAlign w:val="center"/>
            <w:hideMark/>
          </w:tcPr>
          <w:p w14:paraId="0197D899"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731" w:type="dxa"/>
            <w:tcBorders>
              <w:top w:val="nil"/>
              <w:left w:val="nil"/>
              <w:bottom w:val="nil"/>
              <w:right w:val="nil"/>
            </w:tcBorders>
            <w:shd w:val="clear" w:color="000000" w:fill="FFFFFF"/>
            <w:noWrap/>
            <w:vAlign w:val="center"/>
            <w:hideMark/>
          </w:tcPr>
          <w:p w14:paraId="395D1BC2"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w:t>
            </w:r>
          </w:p>
        </w:tc>
        <w:tc>
          <w:tcPr>
            <w:tcW w:w="1593" w:type="dxa"/>
            <w:tcBorders>
              <w:top w:val="nil"/>
              <w:left w:val="nil"/>
              <w:bottom w:val="nil"/>
              <w:right w:val="nil"/>
            </w:tcBorders>
            <w:shd w:val="clear" w:color="000000" w:fill="FFFFFF"/>
            <w:noWrap/>
            <w:vAlign w:val="center"/>
            <w:hideMark/>
          </w:tcPr>
          <w:p w14:paraId="43FEA17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23" w:type="dxa"/>
            <w:tcBorders>
              <w:top w:val="nil"/>
              <w:left w:val="nil"/>
              <w:bottom w:val="nil"/>
              <w:right w:val="nil"/>
            </w:tcBorders>
            <w:shd w:val="clear" w:color="000000" w:fill="FFFFFF"/>
            <w:noWrap/>
            <w:vAlign w:val="center"/>
            <w:hideMark/>
          </w:tcPr>
          <w:p w14:paraId="1A853C2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w:t>
            </w:r>
          </w:p>
        </w:tc>
      </w:tr>
      <w:tr w:rsidR="000E3D68" w:rsidRPr="000E3D68" w14:paraId="14A0935A" w14:textId="77777777" w:rsidTr="000E3D68">
        <w:trPr>
          <w:trHeight w:val="277"/>
        </w:trPr>
        <w:tc>
          <w:tcPr>
            <w:tcW w:w="3569" w:type="dxa"/>
            <w:tcBorders>
              <w:top w:val="nil"/>
              <w:left w:val="nil"/>
              <w:bottom w:val="nil"/>
              <w:right w:val="nil"/>
            </w:tcBorders>
            <w:shd w:val="clear" w:color="000000" w:fill="FFFFFF"/>
            <w:vAlign w:val="center"/>
            <w:hideMark/>
          </w:tcPr>
          <w:p w14:paraId="527E5F80"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S191</w:t>
            </w:r>
            <w:r w:rsidRPr="000E3D68">
              <w:rPr>
                <w:rFonts w:ascii="Montserrat" w:eastAsia="Times New Roman" w:hAnsi="Montserrat" w:cs="Calibri"/>
                <w:color w:val="000000"/>
                <w:sz w:val="18"/>
                <w:szCs w:val="18"/>
                <w:lang w:val="es-MX" w:eastAsia="es-MX"/>
              </w:rPr>
              <w:t>: Sistema Nacional de Investigadores</w:t>
            </w:r>
          </w:p>
        </w:tc>
        <w:tc>
          <w:tcPr>
            <w:tcW w:w="1715" w:type="dxa"/>
            <w:tcBorders>
              <w:top w:val="nil"/>
              <w:left w:val="nil"/>
              <w:bottom w:val="nil"/>
              <w:right w:val="nil"/>
            </w:tcBorders>
            <w:shd w:val="clear" w:color="000000" w:fill="FFFFFF"/>
            <w:noWrap/>
            <w:vAlign w:val="center"/>
            <w:hideMark/>
          </w:tcPr>
          <w:p w14:paraId="5522838C"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w:t>
            </w:r>
          </w:p>
        </w:tc>
        <w:tc>
          <w:tcPr>
            <w:tcW w:w="1731" w:type="dxa"/>
            <w:tcBorders>
              <w:top w:val="nil"/>
              <w:left w:val="nil"/>
              <w:bottom w:val="nil"/>
              <w:right w:val="nil"/>
            </w:tcBorders>
            <w:shd w:val="clear" w:color="000000" w:fill="FFFFFF"/>
            <w:noWrap/>
            <w:vAlign w:val="center"/>
            <w:hideMark/>
          </w:tcPr>
          <w:p w14:paraId="281D67BB"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11</w:t>
            </w:r>
          </w:p>
        </w:tc>
        <w:tc>
          <w:tcPr>
            <w:tcW w:w="1593" w:type="dxa"/>
            <w:tcBorders>
              <w:top w:val="nil"/>
              <w:left w:val="nil"/>
              <w:bottom w:val="nil"/>
              <w:right w:val="nil"/>
            </w:tcBorders>
            <w:shd w:val="clear" w:color="000000" w:fill="FFFFFF"/>
            <w:noWrap/>
            <w:vAlign w:val="center"/>
            <w:hideMark/>
          </w:tcPr>
          <w:p w14:paraId="0B212A8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3</w:t>
            </w:r>
          </w:p>
        </w:tc>
        <w:tc>
          <w:tcPr>
            <w:tcW w:w="1623" w:type="dxa"/>
            <w:tcBorders>
              <w:top w:val="nil"/>
              <w:left w:val="nil"/>
              <w:bottom w:val="nil"/>
              <w:right w:val="nil"/>
            </w:tcBorders>
            <w:shd w:val="clear" w:color="000000" w:fill="FFFFFF"/>
            <w:noWrap/>
            <w:vAlign w:val="center"/>
            <w:hideMark/>
          </w:tcPr>
          <w:p w14:paraId="126A573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15</w:t>
            </w:r>
          </w:p>
        </w:tc>
      </w:tr>
      <w:tr w:rsidR="000E3D68" w:rsidRPr="000E3D68" w14:paraId="152A2E16" w14:textId="77777777" w:rsidTr="000E3D68">
        <w:trPr>
          <w:trHeight w:val="291"/>
        </w:trPr>
        <w:tc>
          <w:tcPr>
            <w:tcW w:w="3569" w:type="dxa"/>
            <w:tcBorders>
              <w:top w:val="single" w:sz="4" w:space="0" w:color="1F5045"/>
              <w:left w:val="nil"/>
              <w:bottom w:val="single" w:sz="4" w:space="0" w:color="1F5045"/>
              <w:right w:val="nil"/>
            </w:tcBorders>
            <w:shd w:val="clear" w:color="000000" w:fill="FFFFFF"/>
            <w:noWrap/>
            <w:vAlign w:val="bottom"/>
            <w:hideMark/>
          </w:tcPr>
          <w:p w14:paraId="6F41AA46" w14:textId="77777777" w:rsidR="000E3D68" w:rsidRPr="000E3D68" w:rsidRDefault="000E3D68" w:rsidP="000E3D68">
            <w:pP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Total</w:t>
            </w:r>
          </w:p>
        </w:tc>
        <w:tc>
          <w:tcPr>
            <w:tcW w:w="1715" w:type="dxa"/>
            <w:tcBorders>
              <w:top w:val="single" w:sz="4" w:space="0" w:color="1F5045"/>
              <w:left w:val="nil"/>
              <w:bottom w:val="single" w:sz="4" w:space="0" w:color="1F5045"/>
              <w:right w:val="nil"/>
            </w:tcBorders>
            <w:shd w:val="clear" w:color="000000" w:fill="FFFFFF"/>
            <w:noWrap/>
            <w:vAlign w:val="bottom"/>
            <w:hideMark/>
          </w:tcPr>
          <w:p w14:paraId="452E43AE"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7</w:t>
            </w:r>
          </w:p>
        </w:tc>
        <w:tc>
          <w:tcPr>
            <w:tcW w:w="1731" w:type="dxa"/>
            <w:tcBorders>
              <w:top w:val="single" w:sz="4" w:space="0" w:color="1F5045"/>
              <w:left w:val="nil"/>
              <w:bottom w:val="single" w:sz="4" w:space="0" w:color="1F5045"/>
              <w:right w:val="nil"/>
            </w:tcBorders>
            <w:shd w:val="clear" w:color="000000" w:fill="FFFFFF"/>
            <w:noWrap/>
            <w:vAlign w:val="bottom"/>
            <w:hideMark/>
          </w:tcPr>
          <w:p w14:paraId="1AE7349E"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53</w:t>
            </w:r>
          </w:p>
        </w:tc>
        <w:tc>
          <w:tcPr>
            <w:tcW w:w="1593" w:type="dxa"/>
            <w:tcBorders>
              <w:top w:val="single" w:sz="4" w:space="0" w:color="1F5045"/>
              <w:left w:val="nil"/>
              <w:bottom w:val="single" w:sz="4" w:space="0" w:color="1F5045"/>
              <w:right w:val="nil"/>
            </w:tcBorders>
            <w:shd w:val="clear" w:color="000000" w:fill="FFFFFF"/>
            <w:noWrap/>
            <w:vAlign w:val="bottom"/>
            <w:hideMark/>
          </w:tcPr>
          <w:p w14:paraId="32DA5309"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5</w:t>
            </w:r>
          </w:p>
        </w:tc>
        <w:tc>
          <w:tcPr>
            <w:tcW w:w="1623" w:type="dxa"/>
            <w:tcBorders>
              <w:top w:val="single" w:sz="4" w:space="0" w:color="1F5045"/>
              <w:left w:val="nil"/>
              <w:bottom w:val="single" w:sz="4" w:space="0" w:color="1F5045"/>
              <w:right w:val="nil"/>
            </w:tcBorders>
            <w:shd w:val="clear" w:color="000000" w:fill="FFFFFF"/>
            <w:noWrap/>
            <w:vAlign w:val="bottom"/>
            <w:hideMark/>
          </w:tcPr>
          <w:p w14:paraId="7CB05E9A"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65</w:t>
            </w:r>
          </w:p>
        </w:tc>
      </w:tr>
    </w:tbl>
    <w:p w14:paraId="0E36CA74" w14:textId="77777777" w:rsidR="00ED25C1" w:rsidRPr="008A3990" w:rsidRDefault="00ED25C1" w:rsidP="00ED25C1">
      <w:pPr>
        <w:jc w:val="both"/>
        <w:rPr>
          <w:rFonts w:ascii="Monserrat" w:hAnsi="Monserrat" w:hint="eastAsia"/>
        </w:rPr>
      </w:pPr>
    </w:p>
    <w:p w14:paraId="67016A0D" w14:textId="77777777" w:rsidR="00ED25C1" w:rsidRDefault="00ED25C1" w:rsidP="00ED25C1">
      <w:pPr>
        <w:jc w:val="both"/>
      </w:pPr>
    </w:p>
    <w:p w14:paraId="3C4E717B" w14:textId="77777777" w:rsidR="00ED25C1" w:rsidRDefault="00ED25C1" w:rsidP="00ED25C1">
      <w:pPr>
        <w:jc w:val="both"/>
      </w:pPr>
    </w:p>
    <w:tbl>
      <w:tblPr>
        <w:tblW w:w="10173" w:type="dxa"/>
        <w:tblCellMar>
          <w:left w:w="70" w:type="dxa"/>
          <w:right w:w="70" w:type="dxa"/>
        </w:tblCellMar>
        <w:tblLook w:val="04A0" w:firstRow="1" w:lastRow="0" w:firstColumn="1" w:lastColumn="0" w:noHBand="0" w:noVBand="1"/>
      </w:tblPr>
      <w:tblGrid>
        <w:gridCol w:w="3548"/>
        <w:gridCol w:w="1705"/>
        <w:gridCol w:w="1720"/>
        <w:gridCol w:w="1585"/>
        <w:gridCol w:w="1615"/>
      </w:tblGrid>
      <w:tr w:rsidR="000E3D68" w:rsidRPr="000E3D68" w14:paraId="4E3CEF05" w14:textId="77777777" w:rsidTr="000E3D68">
        <w:trPr>
          <w:trHeight w:val="584"/>
        </w:trPr>
        <w:tc>
          <w:tcPr>
            <w:tcW w:w="10173" w:type="dxa"/>
            <w:gridSpan w:val="5"/>
            <w:tcBorders>
              <w:top w:val="nil"/>
              <w:left w:val="nil"/>
              <w:bottom w:val="nil"/>
              <w:right w:val="nil"/>
            </w:tcBorders>
            <w:shd w:val="clear" w:color="000000" w:fill="FFFFFF"/>
            <w:vAlign w:val="center"/>
            <w:hideMark/>
          </w:tcPr>
          <w:p w14:paraId="28643FB8"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28ED4CFD"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32AF42E7"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08A66C37"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73923AB7"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4BE37C49"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7123D575"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06C0DAA6"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2F90D092"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619E48B4"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10580F2A"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1D4A75B5"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4C92641D" w14:textId="77777777" w:rsidR="000E3D68" w:rsidRPr="001C52C5" w:rsidRDefault="000E3D68" w:rsidP="001C52C5">
            <w:pPr>
              <w:jc w:val="center"/>
              <w:rPr>
                <w:rFonts w:ascii="Montserrat" w:eastAsia="Times New Roman" w:hAnsi="Montserrat" w:cs="Calibri"/>
                <w:b/>
                <w:bCs/>
                <w:color w:val="000000"/>
                <w:szCs w:val="20"/>
                <w:lang w:val="es-MX" w:eastAsia="es-MX"/>
              </w:rPr>
            </w:pPr>
          </w:p>
          <w:p w14:paraId="271791B1" w14:textId="77777777" w:rsidR="000E3D68" w:rsidRPr="000E3D68" w:rsidRDefault="000E3D68" w:rsidP="001C52C5">
            <w:pPr>
              <w:jc w:val="center"/>
              <w:rPr>
                <w:rFonts w:ascii="Montserrat" w:eastAsia="Times New Roman" w:hAnsi="Montserrat" w:cs="Calibri"/>
                <w:b/>
                <w:bCs/>
                <w:color w:val="000000"/>
                <w:szCs w:val="20"/>
                <w:lang w:val="es-MX" w:eastAsia="es-MX"/>
              </w:rPr>
            </w:pPr>
            <w:r w:rsidRPr="000E3D68">
              <w:rPr>
                <w:rFonts w:ascii="Montserrat" w:eastAsia="Times New Roman" w:hAnsi="Montserrat" w:cs="Calibri"/>
                <w:b/>
                <w:bCs/>
                <w:color w:val="000000"/>
                <w:szCs w:val="20"/>
                <w:lang w:val="es-MX" w:eastAsia="es-MX"/>
              </w:rPr>
              <w:lastRenderedPageBreak/>
              <w:t xml:space="preserve">Cuadro 2: Porcentaje de Cumplimiento de las metas al cuarto trimestre de 2022 de los Indicadores de las MIR del </w:t>
            </w:r>
            <w:r w:rsidR="007729D2">
              <w:rPr>
                <w:rFonts w:ascii="Montserrat" w:eastAsia="Times New Roman" w:hAnsi="Montserrat" w:cs="Calibri"/>
                <w:b/>
                <w:bCs/>
                <w:color w:val="000000"/>
                <w:szCs w:val="20"/>
                <w:lang w:val="es-MX" w:eastAsia="es-MX"/>
              </w:rPr>
              <w:t>Conacyt</w:t>
            </w:r>
          </w:p>
        </w:tc>
      </w:tr>
      <w:tr w:rsidR="000E3D68" w:rsidRPr="000E3D68" w14:paraId="2794D2AC" w14:textId="77777777" w:rsidTr="000E3D68">
        <w:trPr>
          <w:trHeight w:val="584"/>
        </w:trPr>
        <w:tc>
          <w:tcPr>
            <w:tcW w:w="3548" w:type="dxa"/>
            <w:tcBorders>
              <w:top w:val="nil"/>
              <w:left w:val="nil"/>
              <w:bottom w:val="nil"/>
              <w:right w:val="nil"/>
            </w:tcBorders>
            <w:shd w:val="clear" w:color="000000" w:fill="FFFFFF"/>
            <w:vAlign w:val="center"/>
            <w:hideMark/>
          </w:tcPr>
          <w:p w14:paraId="12AA63BE"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lastRenderedPageBreak/>
              <w:t> </w:t>
            </w:r>
          </w:p>
        </w:tc>
        <w:tc>
          <w:tcPr>
            <w:tcW w:w="1705" w:type="dxa"/>
            <w:tcBorders>
              <w:top w:val="nil"/>
              <w:left w:val="nil"/>
              <w:bottom w:val="nil"/>
              <w:right w:val="nil"/>
            </w:tcBorders>
            <w:shd w:val="clear" w:color="000000" w:fill="FFFFFF"/>
            <w:vAlign w:val="center"/>
            <w:hideMark/>
          </w:tcPr>
          <w:p w14:paraId="2DC12A18"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720" w:type="dxa"/>
            <w:tcBorders>
              <w:top w:val="nil"/>
              <w:left w:val="nil"/>
              <w:bottom w:val="nil"/>
              <w:right w:val="nil"/>
            </w:tcBorders>
            <w:shd w:val="clear" w:color="000000" w:fill="FFFFFF"/>
            <w:vAlign w:val="center"/>
            <w:hideMark/>
          </w:tcPr>
          <w:p w14:paraId="6678ABCA"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583" w:type="dxa"/>
            <w:tcBorders>
              <w:top w:val="nil"/>
              <w:left w:val="nil"/>
              <w:bottom w:val="nil"/>
              <w:right w:val="nil"/>
            </w:tcBorders>
            <w:shd w:val="clear" w:color="000000" w:fill="FFFFFF"/>
            <w:vAlign w:val="center"/>
            <w:hideMark/>
          </w:tcPr>
          <w:p w14:paraId="3E6352C1"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c>
          <w:tcPr>
            <w:tcW w:w="1614" w:type="dxa"/>
            <w:tcBorders>
              <w:top w:val="nil"/>
              <w:left w:val="nil"/>
              <w:bottom w:val="nil"/>
              <w:right w:val="nil"/>
            </w:tcBorders>
            <w:shd w:val="clear" w:color="000000" w:fill="FFFFFF"/>
            <w:vAlign w:val="center"/>
            <w:hideMark/>
          </w:tcPr>
          <w:p w14:paraId="036A7EF3" w14:textId="77777777" w:rsidR="000E3D68" w:rsidRPr="000E3D68" w:rsidRDefault="000E3D68" w:rsidP="000E3D68">
            <w:pPr>
              <w:jc w:val="center"/>
              <w:rPr>
                <w:rFonts w:ascii="Montserrat" w:eastAsia="Times New Roman" w:hAnsi="Montserrat" w:cs="Calibri"/>
                <w:b/>
                <w:bCs/>
                <w:color w:val="000000"/>
                <w:sz w:val="20"/>
                <w:szCs w:val="20"/>
                <w:lang w:val="es-MX" w:eastAsia="es-MX"/>
              </w:rPr>
            </w:pPr>
            <w:r w:rsidRPr="000E3D68">
              <w:rPr>
                <w:rFonts w:ascii="Montserrat" w:eastAsia="Times New Roman" w:hAnsi="Montserrat" w:cs="Calibri"/>
                <w:b/>
                <w:bCs/>
                <w:color w:val="000000"/>
                <w:sz w:val="20"/>
                <w:szCs w:val="20"/>
                <w:lang w:val="es-MX" w:eastAsia="es-MX"/>
              </w:rPr>
              <w:t> </w:t>
            </w:r>
          </w:p>
        </w:tc>
      </w:tr>
      <w:tr w:rsidR="000E3D68" w:rsidRPr="000E3D68" w14:paraId="61E51622" w14:textId="77777777" w:rsidTr="000E3D68">
        <w:trPr>
          <w:trHeight w:val="584"/>
        </w:trPr>
        <w:tc>
          <w:tcPr>
            <w:tcW w:w="3548" w:type="dxa"/>
            <w:vMerge w:val="restart"/>
            <w:tcBorders>
              <w:top w:val="single" w:sz="4" w:space="0" w:color="1F5045"/>
              <w:left w:val="single" w:sz="4" w:space="0" w:color="1F5045"/>
              <w:bottom w:val="single" w:sz="4" w:space="0" w:color="1F5045"/>
              <w:right w:val="single" w:sz="4" w:space="0" w:color="1F5045"/>
            </w:tcBorders>
            <w:shd w:val="clear" w:color="000000" w:fill="318270"/>
            <w:vAlign w:val="center"/>
            <w:hideMark/>
          </w:tcPr>
          <w:p w14:paraId="1362D246"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Programa presupuestario (Modalidad y nombre)</w:t>
            </w:r>
          </w:p>
        </w:tc>
        <w:tc>
          <w:tcPr>
            <w:tcW w:w="5010" w:type="dxa"/>
            <w:gridSpan w:val="3"/>
            <w:tcBorders>
              <w:top w:val="single" w:sz="4" w:space="0" w:color="1F5045"/>
              <w:left w:val="nil"/>
              <w:bottom w:val="single" w:sz="4" w:space="0" w:color="1F5045"/>
              <w:right w:val="single" w:sz="4" w:space="0" w:color="1F5045"/>
            </w:tcBorders>
            <w:shd w:val="clear" w:color="000000" w:fill="318270"/>
            <w:noWrap/>
            <w:vAlign w:val="center"/>
            <w:hideMark/>
          </w:tcPr>
          <w:p w14:paraId="51298D56"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 xml:space="preserve">Indicadores por % </w:t>
            </w:r>
            <w:r w:rsidR="00185D32" w:rsidRPr="000E3D68">
              <w:rPr>
                <w:rFonts w:ascii="Montserrat" w:eastAsia="Times New Roman" w:hAnsi="Montserrat" w:cs="Calibri"/>
                <w:b/>
                <w:bCs/>
                <w:color w:val="FFFFFF"/>
                <w:sz w:val="18"/>
                <w:szCs w:val="18"/>
                <w:lang w:val="es-MX" w:eastAsia="es-MX"/>
              </w:rPr>
              <w:t>de cumplimiento</w:t>
            </w:r>
            <w:r w:rsidRPr="000E3D68">
              <w:rPr>
                <w:rFonts w:ascii="Montserrat" w:eastAsia="Times New Roman" w:hAnsi="Montserrat" w:cs="Calibri"/>
                <w:b/>
                <w:bCs/>
                <w:color w:val="FFFFFF"/>
                <w:sz w:val="18"/>
                <w:szCs w:val="18"/>
                <w:lang w:val="es-MX" w:eastAsia="es-MX"/>
              </w:rPr>
              <w:t xml:space="preserve"> de la meta</w:t>
            </w:r>
          </w:p>
        </w:tc>
        <w:tc>
          <w:tcPr>
            <w:tcW w:w="1614" w:type="dxa"/>
            <w:vMerge w:val="restart"/>
            <w:tcBorders>
              <w:top w:val="single" w:sz="4" w:space="0" w:color="1F5045"/>
              <w:left w:val="single" w:sz="4" w:space="0" w:color="1F5045"/>
              <w:bottom w:val="single" w:sz="4" w:space="0" w:color="1F5045"/>
              <w:right w:val="single" w:sz="4" w:space="0" w:color="1F5045"/>
            </w:tcBorders>
            <w:shd w:val="clear" w:color="000000" w:fill="318270"/>
            <w:noWrap/>
            <w:vAlign w:val="center"/>
            <w:hideMark/>
          </w:tcPr>
          <w:p w14:paraId="42200824"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Total</w:t>
            </w:r>
          </w:p>
        </w:tc>
      </w:tr>
      <w:tr w:rsidR="000E3D68" w:rsidRPr="000E3D68" w14:paraId="38341AE5" w14:textId="77777777" w:rsidTr="000E3D68">
        <w:trPr>
          <w:trHeight w:val="1051"/>
        </w:trPr>
        <w:tc>
          <w:tcPr>
            <w:tcW w:w="3548" w:type="dxa"/>
            <w:vMerge/>
            <w:tcBorders>
              <w:top w:val="single" w:sz="4" w:space="0" w:color="1F5045"/>
              <w:left w:val="single" w:sz="4" w:space="0" w:color="1F5045"/>
              <w:bottom w:val="single" w:sz="4" w:space="0" w:color="1F5045"/>
              <w:right w:val="single" w:sz="4" w:space="0" w:color="1F5045"/>
            </w:tcBorders>
            <w:vAlign w:val="center"/>
            <w:hideMark/>
          </w:tcPr>
          <w:p w14:paraId="2C8EF403" w14:textId="77777777" w:rsidR="000E3D68" w:rsidRPr="000E3D68" w:rsidRDefault="000E3D68" w:rsidP="000E3D68">
            <w:pPr>
              <w:rPr>
                <w:rFonts w:ascii="Montserrat" w:eastAsia="Times New Roman" w:hAnsi="Montserrat" w:cs="Calibri"/>
                <w:b/>
                <w:bCs/>
                <w:color w:val="FFFFFF"/>
                <w:sz w:val="18"/>
                <w:szCs w:val="18"/>
                <w:lang w:val="es-MX" w:eastAsia="es-MX"/>
              </w:rPr>
            </w:pPr>
          </w:p>
        </w:tc>
        <w:tc>
          <w:tcPr>
            <w:tcW w:w="1705" w:type="dxa"/>
            <w:tcBorders>
              <w:top w:val="nil"/>
              <w:left w:val="nil"/>
              <w:bottom w:val="single" w:sz="4" w:space="0" w:color="1F5045"/>
              <w:right w:val="single" w:sz="4" w:space="0" w:color="1F5045"/>
            </w:tcBorders>
            <w:shd w:val="clear" w:color="000000" w:fill="318270"/>
            <w:vAlign w:val="center"/>
            <w:hideMark/>
          </w:tcPr>
          <w:p w14:paraId="0333F2E2"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 Indicadores menores al 80%</w:t>
            </w:r>
          </w:p>
        </w:tc>
        <w:tc>
          <w:tcPr>
            <w:tcW w:w="1720" w:type="dxa"/>
            <w:tcBorders>
              <w:top w:val="nil"/>
              <w:left w:val="nil"/>
              <w:bottom w:val="single" w:sz="4" w:space="0" w:color="1F5045"/>
              <w:right w:val="single" w:sz="4" w:space="0" w:color="1F5045"/>
            </w:tcBorders>
            <w:shd w:val="clear" w:color="000000" w:fill="318270"/>
            <w:vAlign w:val="center"/>
            <w:hideMark/>
          </w:tcPr>
          <w:p w14:paraId="7AF968C4"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 Indicadores entre 80% y 115%</w:t>
            </w:r>
          </w:p>
        </w:tc>
        <w:tc>
          <w:tcPr>
            <w:tcW w:w="1583" w:type="dxa"/>
            <w:tcBorders>
              <w:top w:val="nil"/>
              <w:left w:val="nil"/>
              <w:bottom w:val="single" w:sz="4" w:space="0" w:color="1F5045"/>
              <w:right w:val="single" w:sz="4" w:space="0" w:color="1F5045"/>
            </w:tcBorders>
            <w:shd w:val="clear" w:color="000000" w:fill="318270"/>
            <w:vAlign w:val="center"/>
            <w:hideMark/>
          </w:tcPr>
          <w:p w14:paraId="4D352EE6" w14:textId="77777777" w:rsidR="000E3D68" w:rsidRPr="000E3D68" w:rsidRDefault="000E3D68" w:rsidP="000E3D68">
            <w:pPr>
              <w:jc w:val="center"/>
              <w:rPr>
                <w:rFonts w:ascii="Montserrat" w:eastAsia="Times New Roman" w:hAnsi="Montserrat" w:cs="Calibri"/>
                <w:b/>
                <w:bCs/>
                <w:color w:val="FFFFFF"/>
                <w:sz w:val="18"/>
                <w:szCs w:val="18"/>
                <w:lang w:val="es-MX" w:eastAsia="es-MX"/>
              </w:rPr>
            </w:pPr>
            <w:r w:rsidRPr="000E3D68">
              <w:rPr>
                <w:rFonts w:ascii="Montserrat" w:eastAsia="Times New Roman" w:hAnsi="Montserrat" w:cs="Calibri"/>
                <w:b/>
                <w:bCs/>
                <w:color w:val="FFFFFF"/>
                <w:sz w:val="18"/>
                <w:szCs w:val="18"/>
                <w:lang w:val="es-MX" w:eastAsia="es-MX"/>
              </w:rPr>
              <w:t>% Indicadores mayores al 115%</w:t>
            </w:r>
          </w:p>
        </w:tc>
        <w:tc>
          <w:tcPr>
            <w:tcW w:w="1614" w:type="dxa"/>
            <w:vMerge/>
            <w:tcBorders>
              <w:top w:val="single" w:sz="4" w:space="0" w:color="1F5045"/>
              <w:left w:val="single" w:sz="4" w:space="0" w:color="1F5045"/>
              <w:bottom w:val="single" w:sz="4" w:space="0" w:color="1F5045"/>
              <w:right w:val="single" w:sz="4" w:space="0" w:color="1F5045"/>
            </w:tcBorders>
            <w:vAlign w:val="center"/>
            <w:hideMark/>
          </w:tcPr>
          <w:p w14:paraId="0C551C87" w14:textId="77777777" w:rsidR="000E3D68" w:rsidRPr="000E3D68" w:rsidRDefault="000E3D68" w:rsidP="000E3D68">
            <w:pPr>
              <w:rPr>
                <w:rFonts w:ascii="Montserrat" w:eastAsia="Times New Roman" w:hAnsi="Montserrat" w:cs="Calibri"/>
                <w:b/>
                <w:bCs/>
                <w:color w:val="FFFFFF"/>
                <w:sz w:val="18"/>
                <w:szCs w:val="18"/>
                <w:lang w:val="es-MX" w:eastAsia="es-MX"/>
              </w:rPr>
            </w:pPr>
          </w:p>
        </w:tc>
      </w:tr>
      <w:tr w:rsidR="000E3D68" w:rsidRPr="000E3D68" w14:paraId="173CD9E6" w14:textId="77777777" w:rsidTr="000E3D68">
        <w:trPr>
          <w:trHeight w:val="1051"/>
        </w:trPr>
        <w:tc>
          <w:tcPr>
            <w:tcW w:w="3548" w:type="dxa"/>
            <w:tcBorders>
              <w:top w:val="nil"/>
              <w:left w:val="nil"/>
              <w:bottom w:val="nil"/>
              <w:right w:val="nil"/>
            </w:tcBorders>
            <w:shd w:val="clear" w:color="000000" w:fill="FFFFFF"/>
            <w:vAlign w:val="center"/>
            <w:hideMark/>
          </w:tcPr>
          <w:p w14:paraId="41F89158" w14:textId="77777777" w:rsidR="000E3D68" w:rsidRPr="000E3D68" w:rsidRDefault="000E3D68" w:rsidP="000E3D68">
            <w:pP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 xml:space="preserve">E003: </w:t>
            </w:r>
            <w:r w:rsidRPr="000E3D68">
              <w:rPr>
                <w:rFonts w:ascii="Montserrat" w:eastAsia="Times New Roman" w:hAnsi="Montserrat" w:cs="Calibri"/>
                <w:color w:val="000000"/>
                <w:sz w:val="18"/>
                <w:szCs w:val="18"/>
                <w:lang w:val="es-MX" w:eastAsia="es-MX"/>
              </w:rPr>
              <w:t>Investigación científica, desarrollo e innovación</w:t>
            </w:r>
          </w:p>
        </w:tc>
        <w:tc>
          <w:tcPr>
            <w:tcW w:w="1705" w:type="dxa"/>
            <w:tcBorders>
              <w:top w:val="nil"/>
              <w:left w:val="nil"/>
              <w:bottom w:val="nil"/>
              <w:right w:val="nil"/>
            </w:tcBorders>
            <w:shd w:val="clear" w:color="000000" w:fill="FFFFFF"/>
            <w:noWrap/>
            <w:vAlign w:val="center"/>
            <w:hideMark/>
          </w:tcPr>
          <w:p w14:paraId="77ECA1C0"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720" w:type="dxa"/>
            <w:tcBorders>
              <w:top w:val="nil"/>
              <w:left w:val="nil"/>
              <w:bottom w:val="nil"/>
              <w:right w:val="nil"/>
            </w:tcBorders>
            <w:shd w:val="clear" w:color="000000" w:fill="FFFFFF"/>
            <w:noWrap/>
            <w:vAlign w:val="center"/>
            <w:hideMark/>
          </w:tcPr>
          <w:p w14:paraId="4C063936"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92.31%</w:t>
            </w:r>
          </w:p>
        </w:tc>
        <w:tc>
          <w:tcPr>
            <w:tcW w:w="1583" w:type="dxa"/>
            <w:tcBorders>
              <w:top w:val="nil"/>
              <w:left w:val="nil"/>
              <w:bottom w:val="nil"/>
              <w:right w:val="nil"/>
            </w:tcBorders>
            <w:shd w:val="clear" w:color="000000" w:fill="FFFFFF"/>
            <w:noWrap/>
            <w:vAlign w:val="center"/>
            <w:hideMark/>
          </w:tcPr>
          <w:p w14:paraId="25CDAD34"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7.69%</w:t>
            </w:r>
          </w:p>
        </w:tc>
        <w:tc>
          <w:tcPr>
            <w:tcW w:w="1614" w:type="dxa"/>
            <w:tcBorders>
              <w:top w:val="nil"/>
              <w:left w:val="nil"/>
              <w:bottom w:val="nil"/>
              <w:right w:val="nil"/>
            </w:tcBorders>
            <w:shd w:val="clear" w:color="000000" w:fill="FFFFFF"/>
            <w:noWrap/>
            <w:vAlign w:val="center"/>
            <w:hideMark/>
          </w:tcPr>
          <w:p w14:paraId="5E7A5C89"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5328F5F6" w14:textId="77777777" w:rsidTr="000E3D68">
        <w:trPr>
          <w:trHeight w:val="1577"/>
        </w:trPr>
        <w:tc>
          <w:tcPr>
            <w:tcW w:w="3548" w:type="dxa"/>
            <w:tcBorders>
              <w:top w:val="nil"/>
              <w:left w:val="nil"/>
              <w:bottom w:val="nil"/>
              <w:right w:val="nil"/>
            </w:tcBorders>
            <w:shd w:val="clear" w:color="000000" w:fill="FFFFFF"/>
            <w:vAlign w:val="center"/>
            <w:hideMark/>
          </w:tcPr>
          <w:p w14:paraId="14801623"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F003</w:t>
            </w:r>
            <w:r w:rsidRPr="000E3D68">
              <w:rPr>
                <w:rFonts w:ascii="Montserrat" w:eastAsia="Times New Roman" w:hAnsi="Montserrat" w:cs="Calibri"/>
                <w:color w:val="000000"/>
                <w:sz w:val="18"/>
                <w:szCs w:val="18"/>
                <w:lang w:val="es-MX" w:eastAsia="es-MX"/>
              </w:rPr>
              <w:t>: Programas nacionales estratégicos de ciencia, tecnología y vinculación con el sector social, público y privado.</w:t>
            </w:r>
          </w:p>
        </w:tc>
        <w:tc>
          <w:tcPr>
            <w:tcW w:w="1705" w:type="dxa"/>
            <w:tcBorders>
              <w:top w:val="nil"/>
              <w:left w:val="nil"/>
              <w:bottom w:val="nil"/>
              <w:right w:val="nil"/>
            </w:tcBorders>
            <w:shd w:val="clear" w:color="000000" w:fill="FFFFFF"/>
            <w:noWrap/>
            <w:vAlign w:val="center"/>
            <w:hideMark/>
          </w:tcPr>
          <w:p w14:paraId="10DDFE6E"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30.00%</w:t>
            </w:r>
          </w:p>
        </w:tc>
        <w:tc>
          <w:tcPr>
            <w:tcW w:w="1720" w:type="dxa"/>
            <w:tcBorders>
              <w:top w:val="nil"/>
              <w:left w:val="nil"/>
              <w:bottom w:val="nil"/>
              <w:right w:val="nil"/>
            </w:tcBorders>
            <w:shd w:val="clear" w:color="000000" w:fill="FFFFFF"/>
            <w:noWrap/>
            <w:vAlign w:val="center"/>
            <w:hideMark/>
          </w:tcPr>
          <w:p w14:paraId="2F7680E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60.00%</w:t>
            </w:r>
          </w:p>
        </w:tc>
        <w:tc>
          <w:tcPr>
            <w:tcW w:w="1583" w:type="dxa"/>
            <w:tcBorders>
              <w:top w:val="nil"/>
              <w:left w:val="nil"/>
              <w:bottom w:val="nil"/>
              <w:right w:val="nil"/>
            </w:tcBorders>
            <w:shd w:val="clear" w:color="000000" w:fill="FFFFFF"/>
            <w:noWrap/>
            <w:vAlign w:val="center"/>
            <w:hideMark/>
          </w:tcPr>
          <w:p w14:paraId="703BE792"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w:t>
            </w:r>
          </w:p>
        </w:tc>
        <w:tc>
          <w:tcPr>
            <w:tcW w:w="1614" w:type="dxa"/>
            <w:tcBorders>
              <w:top w:val="nil"/>
              <w:left w:val="nil"/>
              <w:bottom w:val="nil"/>
              <w:right w:val="nil"/>
            </w:tcBorders>
            <w:shd w:val="clear" w:color="000000" w:fill="FFFFFF"/>
            <w:noWrap/>
            <w:vAlign w:val="center"/>
            <w:hideMark/>
          </w:tcPr>
          <w:p w14:paraId="452FBB15"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2506E169" w14:textId="77777777" w:rsidTr="000E3D68">
        <w:trPr>
          <w:trHeight w:val="1051"/>
        </w:trPr>
        <w:tc>
          <w:tcPr>
            <w:tcW w:w="3548" w:type="dxa"/>
            <w:tcBorders>
              <w:top w:val="nil"/>
              <w:left w:val="nil"/>
              <w:bottom w:val="nil"/>
              <w:right w:val="nil"/>
            </w:tcBorders>
            <w:shd w:val="clear" w:color="000000" w:fill="FFFFFF"/>
            <w:vAlign w:val="center"/>
            <w:hideMark/>
          </w:tcPr>
          <w:p w14:paraId="6570B655"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K010:</w:t>
            </w:r>
            <w:r w:rsidRPr="000E3D68">
              <w:rPr>
                <w:rFonts w:ascii="Montserrat" w:eastAsia="Times New Roman" w:hAnsi="Montserrat" w:cs="Calibri"/>
                <w:color w:val="000000"/>
                <w:sz w:val="18"/>
                <w:szCs w:val="18"/>
                <w:lang w:val="es-MX" w:eastAsia="es-MX"/>
              </w:rPr>
              <w:t xml:space="preserve"> Proyectos de infraestructura social de ciencia y tecnología</w:t>
            </w:r>
          </w:p>
        </w:tc>
        <w:tc>
          <w:tcPr>
            <w:tcW w:w="1705" w:type="dxa"/>
            <w:tcBorders>
              <w:top w:val="nil"/>
              <w:left w:val="nil"/>
              <w:bottom w:val="nil"/>
              <w:right w:val="nil"/>
            </w:tcBorders>
            <w:shd w:val="clear" w:color="000000" w:fill="FFFFFF"/>
            <w:noWrap/>
            <w:vAlign w:val="center"/>
            <w:hideMark/>
          </w:tcPr>
          <w:p w14:paraId="300FBE29"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28.57%</w:t>
            </w:r>
          </w:p>
        </w:tc>
        <w:tc>
          <w:tcPr>
            <w:tcW w:w="1720" w:type="dxa"/>
            <w:tcBorders>
              <w:top w:val="nil"/>
              <w:left w:val="nil"/>
              <w:bottom w:val="nil"/>
              <w:right w:val="nil"/>
            </w:tcBorders>
            <w:shd w:val="clear" w:color="000000" w:fill="FFFFFF"/>
            <w:noWrap/>
            <w:vAlign w:val="center"/>
            <w:hideMark/>
          </w:tcPr>
          <w:p w14:paraId="66FEF838"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71.43%</w:t>
            </w:r>
          </w:p>
        </w:tc>
        <w:tc>
          <w:tcPr>
            <w:tcW w:w="1583" w:type="dxa"/>
            <w:tcBorders>
              <w:top w:val="nil"/>
              <w:left w:val="nil"/>
              <w:bottom w:val="nil"/>
              <w:right w:val="nil"/>
            </w:tcBorders>
            <w:shd w:val="clear" w:color="000000" w:fill="FFFFFF"/>
            <w:noWrap/>
            <w:vAlign w:val="center"/>
            <w:hideMark/>
          </w:tcPr>
          <w:p w14:paraId="5E856791"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14" w:type="dxa"/>
            <w:tcBorders>
              <w:top w:val="nil"/>
              <w:left w:val="nil"/>
              <w:bottom w:val="nil"/>
              <w:right w:val="nil"/>
            </w:tcBorders>
            <w:shd w:val="clear" w:color="000000" w:fill="FFFFFF"/>
            <w:noWrap/>
            <w:vAlign w:val="center"/>
            <w:hideMark/>
          </w:tcPr>
          <w:p w14:paraId="3EE2FCBE"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1C24E116" w14:textId="77777777" w:rsidTr="000E3D68">
        <w:trPr>
          <w:trHeight w:val="1051"/>
        </w:trPr>
        <w:tc>
          <w:tcPr>
            <w:tcW w:w="3548" w:type="dxa"/>
            <w:tcBorders>
              <w:top w:val="nil"/>
              <w:left w:val="nil"/>
              <w:bottom w:val="nil"/>
              <w:right w:val="nil"/>
            </w:tcBorders>
            <w:shd w:val="clear" w:color="000000" w:fill="FFFFFF"/>
            <w:vAlign w:val="center"/>
            <w:hideMark/>
          </w:tcPr>
          <w:p w14:paraId="14025190"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P001:</w:t>
            </w:r>
            <w:r w:rsidRPr="000E3D68">
              <w:rPr>
                <w:rFonts w:ascii="Montserrat" w:eastAsia="Times New Roman" w:hAnsi="Montserrat" w:cs="Calibri"/>
                <w:color w:val="000000"/>
                <w:sz w:val="18"/>
                <w:szCs w:val="18"/>
                <w:lang w:val="es-MX" w:eastAsia="es-MX"/>
              </w:rPr>
              <w:t xml:space="preserve"> Diseño y evaluación de políticas en ciencia, tecnología e innovación</w:t>
            </w:r>
          </w:p>
        </w:tc>
        <w:tc>
          <w:tcPr>
            <w:tcW w:w="1705" w:type="dxa"/>
            <w:tcBorders>
              <w:top w:val="nil"/>
              <w:left w:val="nil"/>
              <w:bottom w:val="nil"/>
              <w:right w:val="nil"/>
            </w:tcBorders>
            <w:shd w:val="clear" w:color="000000" w:fill="FFFFFF"/>
            <w:noWrap/>
            <w:vAlign w:val="center"/>
            <w:hideMark/>
          </w:tcPr>
          <w:p w14:paraId="37FFC1AD"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w:t>
            </w:r>
          </w:p>
        </w:tc>
        <w:tc>
          <w:tcPr>
            <w:tcW w:w="1720" w:type="dxa"/>
            <w:tcBorders>
              <w:top w:val="nil"/>
              <w:left w:val="nil"/>
              <w:bottom w:val="nil"/>
              <w:right w:val="nil"/>
            </w:tcBorders>
            <w:shd w:val="clear" w:color="000000" w:fill="FFFFFF"/>
            <w:noWrap/>
            <w:vAlign w:val="center"/>
            <w:hideMark/>
          </w:tcPr>
          <w:p w14:paraId="69B5E4C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90.00%</w:t>
            </w:r>
          </w:p>
        </w:tc>
        <w:tc>
          <w:tcPr>
            <w:tcW w:w="1583" w:type="dxa"/>
            <w:tcBorders>
              <w:top w:val="nil"/>
              <w:left w:val="nil"/>
              <w:bottom w:val="nil"/>
              <w:right w:val="nil"/>
            </w:tcBorders>
            <w:shd w:val="clear" w:color="000000" w:fill="FFFFFF"/>
            <w:noWrap/>
            <w:vAlign w:val="center"/>
            <w:hideMark/>
          </w:tcPr>
          <w:p w14:paraId="0217C6AC"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14" w:type="dxa"/>
            <w:tcBorders>
              <w:top w:val="nil"/>
              <w:left w:val="nil"/>
              <w:bottom w:val="nil"/>
              <w:right w:val="nil"/>
            </w:tcBorders>
            <w:shd w:val="clear" w:color="000000" w:fill="FFFFFF"/>
            <w:noWrap/>
            <w:vAlign w:val="center"/>
            <w:hideMark/>
          </w:tcPr>
          <w:p w14:paraId="652D766B"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75EA053B" w14:textId="77777777" w:rsidTr="000E3D68">
        <w:trPr>
          <w:trHeight w:val="1051"/>
        </w:trPr>
        <w:tc>
          <w:tcPr>
            <w:tcW w:w="3548" w:type="dxa"/>
            <w:tcBorders>
              <w:top w:val="nil"/>
              <w:left w:val="nil"/>
              <w:bottom w:val="nil"/>
              <w:right w:val="nil"/>
            </w:tcBorders>
            <w:shd w:val="clear" w:color="000000" w:fill="FFFFFF"/>
            <w:vAlign w:val="center"/>
            <w:hideMark/>
          </w:tcPr>
          <w:p w14:paraId="4DDBB6EC"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S190</w:t>
            </w:r>
            <w:r w:rsidRPr="000E3D68">
              <w:rPr>
                <w:rFonts w:ascii="Montserrat" w:eastAsia="Times New Roman" w:hAnsi="Montserrat" w:cs="Calibri"/>
                <w:color w:val="000000"/>
                <w:sz w:val="18"/>
                <w:szCs w:val="18"/>
                <w:lang w:val="es-MX" w:eastAsia="es-MX"/>
              </w:rPr>
              <w:t>: Becas de posgrado y otras modalidades de apoyo a la calidad</w:t>
            </w:r>
          </w:p>
        </w:tc>
        <w:tc>
          <w:tcPr>
            <w:tcW w:w="1705" w:type="dxa"/>
            <w:tcBorders>
              <w:top w:val="nil"/>
              <w:left w:val="nil"/>
              <w:bottom w:val="nil"/>
              <w:right w:val="nil"/>
            </w:tcBorders>
            <w:shd w:val="clear" w:color="000000" w:fill="FFFFFF"/>
            <w:noWrap/>
            <w:vAlign w:val="center"/>
            <w:hideMark/>
          </w:tcPr>
          <w:p w14:paraId="010562D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720" w:type="dxa"/>
            <w:tcBorders>
              <w:top w:val="nil"/>
              <w:left w:val="nil"/>
              <w:bottom w:val="nil"/>
              <w:right w:val="nil"/>
            </w:tcBorders>
            <w:shd w:val="clear" w:color="000000" w:fill="FFFFFF"/>
            <w:noWrap/>
            <w:vAlign w:val="center"/>
            <w:hideMark/>
          </w:tcPr>
          <w:p w14:paraId="46AD832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c>
          <w:tcPr>
            <w:tcW w:w="1583" w:type="dxa"/>
            <w:tcBorders>
              <w:top w:val="nil"/>
              <w:left w:val="nil"/>
              <w:bottom w:val="nil"/>
              <w:right w:val="nil"/>
            </w:tcBorders>
            <w:shd w:val="clear" w:color="000000" w:fill="FFFFFF"/>
            <w:noWrap/>
            <w:vAlign w:val="center"/>
            <w:hideMark/>
          </w:tcPr>
          <w:p w14:paraId="098E7AF2"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 </w:t>
            </w:r>
          </w:p>
        </w:tc>
        <w:tc>
          <w:tcPr>
            <w:tcW w:w="1614" w:type="dxa"/>
            <w:tcBorders>
              <w:top w:val="nil"/>
              <w:left w:val="nil"/>
              <w:bottom w:val="nil"/>
              <w:right w:val="nil"/>
            </w:tcBorders>
            <w:shd w:val="clear" w:color="000000" w:fill="FFFFFF"/>
            <w:noWrap/>
            <w:vAlign w:val="center"/>
            <w:hideMark/>
          </w:tcPr>
          <w:p w14:paraId="3A0F3ED3"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3334D074" w14:textId="77777777" w:rsidTr="000E3D68">
        <w:trPr>
          <w:trHeight w:val="584"/>
        </w:trPr>
        <w:tc>
          <w:tcPr>
            <w:tcW w:w="3548" w:type="dxa"/>
            <w:tcBorders>
              <w:top w:val="nil"/>
              <w:left w:val="nil"/>
              <w:bottom w:val="nil"/>
              <w:right w:val="nil"/>
            </w:tcBorders>
            <w:shd w:val="clear" w:color="000000" w:fill="FFFFFF"/>
            <w:vAlign w:val="center"/>
            <w:hideMark/>
          </w:tcPr>
          <w:p w14:paraId="2DD7ADCF" w14:textId="77777777" w:rsidR="000E3D68" w:rsidRPr="000E3D68" w:rsidRDefault="000E3D68" w:rsidP="000E3D68">
            <w:pPr>
              <w:rPr>
                <w:rFonts w:ascii="Montserrat" w:eastAsia="Times New Roman" w:hAnsi="Montserrat" w:cs="Calibri"/>
                <w:color w:val="000000"/>
                <w:sz w:val="18"/>
                <w:szCs w:val="18"/>
                <w:lang w:val="es-MX" w:eastAsia="es-MX"/>
              </w:rPr>
            </w:pPr>
            <w:r w:rsidRPr="000E3D68">
              <w:rPr>
                <w:rFonts w:ascii="Montserrat" w:eastAsia="Times New Roman" w:hAnsi="Montserrat" w:cs="Calibri"/>
                <w:b/>
                <w:bCs/>
                <w:color w:val="000000"/>
                <w:sz w:val="18"/>
                <w:szCs w:val="18"/>
                <w:lang w:val="es-MX" w:eastAsia="es-MX"/>
              </w:rPr>
              <w:t>S191</w:t>
            </w:r>
            <w:r w:rsidRPr="000E3D68">
              <w:rPr>
                <w:rFonts w:ascii="Montserrat" w:eastAsia="Times New Roman" w:hAnsi="Montserrat" w:cs="Calibri"/>
                <w:color w:val="000000"/>
                <w:sz w:val="18"/>
                <w:szCs w:val="18"/>
                <w:lang w:val="es-MX" w:eastAsia="es-MX"/>
              </w:rPr>
              <w:t>: Sistema Nacional de Investigadores</w:t>
            </w:r>
          </w:p>
        </w:tc>
        <w:tc>
          <w:tcPr>
            <w:tcW w:w="1705" w:type="dxa"/>
            <w:tcBorders>
              <w:top w:val="nil"/>
              <w:left w:val="nil"/>
              <w:bottom w:val="nil"/>
              <w:right w:val="nil"/>
            </w:tcBorders>
            <w:shd w:val="clear" w:color="000000" w:fill="FFFFFF"/>
            <w:noWrap/>
            <w:vAlign w:val="center"/>
            <w:hideMark/>
          </w:tcPr>
          <w:p w14:paraId="46339DF7"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6.67%</w:t>
            </w:r>
          </w:p>
        </w:tc>
        <w:tc>
          <w:tcPr>
            <w:tcW w:w="1720" w:type="dxa"/>
            <w:tcBorders>
              <w:top w:val="nil"/>
              <w:left w:val="nil"/>
              <w:bottom w:val="nil"/>
              <w:right w:val="nil"/>
            </w:tcBorders>
            <w:shd w:val="clear" w:color="000000" w:fill="FFFFFF"/>
            <w:noWrap/>
            <w:vAlign w:val="center"/>
            <w:hideMark/>
          </w:tcPr>
          <w:p w14:paraId="453FD64F"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73.33%</w:t>
            </w:r>
          </w:p>
        </w:tc>
        <w:tc>
          <w:tcPr>
            <w:tcW w:w="1583" w:type="dxa"/>
            <w:tcBorders>
              <w:top w:val="nil"/>
              <w:left w:val="nil"/>
              <w:bottom w:val="nil"/>
              <w:right w:val="nil"/>
            </w:tcBorders>
            <w:shd w:val="clear" w:color="000000" w:fill="FFFFFF"/>
            <w:noWrap/>
            <w:vAlign w:val="center"/>
            <w:hideMark/>
          </w:tcPr>
          <w:p w14:paraId="3D0D7CC6"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20.00%</w:t>
            </w:r>
          </w:p>
        </w:tc>
        <w:tc>
          <w:tcPr>
            <w:tcW w:w="1614" w:type="dxa"/>
            <w:tcBorders>
              <w:top w:val="nil"/>
              <w:left w:val="nil"/>
              <w:bottom w:val="nil"/>
              <w:right w:val="nil"/>
            </w:tcBorders>
            <w:shd w:val="clear" w:color="000000" w:fill="FFFFFF"/>
            <w:noWrap/>
            <w:vAlign w:val="center"/>
            <w:hideMark/>
          </w:tcPr>
          <w:p w14:paraId="49789D3C" w14:textId="77777777" w:rsidR="000E3D68" w:rsidRPr="000E3D68" w:rsidRDefault="000E3D68" w:rsidP="000E3D68">
            <w:pPr>
              <w:jc w:val="center"/>
              <w:rPr>
                <w:rFonts w:ascii="Montserrat" w:eastAsia="Times New Roman" w:hAnsi="Montserrat" w:cs="Calibri"/>
                <w:color w:val="000000"/>
                <w:sz w:val="18"/>
                <w:szCs w:val="18"/>
                <w:lang w:val="es-MX" w:eastAsia="es-MX"/>
              </w:rPr>
            </w:pPr>
            <w:r w:rsidRPr="000E3D68">
              <w:rPr>
                <w:rFonts w:ascii="Montserrat" w:eastAsia="Times New Roman" w:hAnsi="Montserrat" w:cs="Calibri"/>
                <w:color w:val="000000"/>
                <w:sz w:val="18"/>
                <w:szCs w:val="18"/>
                <w:lang w:val="es-MX" w:eastAsia="es-MX"/>
              </w:rPr>
              <w:t>100.00%</w:t>
            </w:r>
          </w:p>
        </w:tc>
      </w:tr>
      <w:tr w:rsidR="000E3D68" w:rsidRPr="000E3D68" w14:paraId="61AE46CD" w14:textId="77777777" w:rsidTr="000E3D68">
        <w:trPr>
          <w:trHeight w:val="584"/>
        </w:trPr>
        <w:tc>
          <w:tcPr>
            <w:tcW w:w="3548" w:type="dxa"/>
            <w:tcBorders>
              <w:top w:val="single" w:sz="4" w:space="0" w:color="auto"/>
              <w:left w:val="nil"/>
              <w:bottom w:val="single" w:sz="4" w:space="0" w:color="auto"/>
              <w:right w:val="nil"/>
            </w:tcBorders>
            <w:shd w:val="clear" w:color="000000" w:fill="FFFFFF"/>
            <w:noWrap/>
            <w:vAlign w:val="bottom"/>
            <w:hideMark/>
          </w:tcPr>
          <w:p w14:paraId="0C2DBAD3" w14:textId="77777777" w:rsidR="000E3D68" w:rsidRPr="000E3D68" w:rsidRDefault="000E3D68" w:rsidP="000E3D68">
            <w:pP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Total</w:t>
            </w:r>
          </w:p>
        </w:tc>
        <w:tc>
          <w:tcPr>
            <w:tcW w:w="1705" w:type="dxa"/>
            <w:tcBorders>
              <w:top w:val="single" w:sz="4" w:space="0" w:color="auto"/>
              <w:left w:val="nil"/>
              <w:bottom w:val="single" w:sz="4" w:space="0" w:color="auto"/>
              <w:right w:val="nil"/>
            </w:tcBorders>
            <w:shd w:val="clear" w:color="000000" w:fill="FFFFFF"/>
            <w:noWrap/>
            <w:vAlign w:val="bottom"/>
            <w:hideMark/>
          </w:tcPr>
          <w:p w14:paraId="5164EB78" w14:textId="77777777" w:rsidR="000E3D68" w:rsidRPr="000E3D68" w:rsidRDefault="000E3D68" w:rsidP="000E3D68">
            <w:pPr>
              <w:jc w:val="cente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10.77%</w:t>
            </w:r>
          </w:p>
        </w:tc>
        <w:tc>
          <w:tcPr>
            <w:tcW w:w="1720" w:type="dxa"/>
            <w:tcBorders>
              <w:top w:val="single" w:sz="4" w:space="0" w:color="auto"/>
              <w:left w:val="nil"/>
              <w:bottom w:val="single" w:sz="4" w:space="0" w:color="auto"/>
              <w:right w:val="nil"/>
            </w:tcBorders>
            <w:shd w:val="clear" w:color="000000" w:fill="FFFFFF"/>
            <w:noWrap/>
            <w:vAlign w:val="bottom"/>
            <w:hideMark/>
          </w:tcPr>
          <w:p w14:paraId="27AA4AFD" w14:textId="77777777" w:rsidR="000E3D68" w:rsidRPr="000E3D68" w:rsidRDefault="000E3D68" w:rsidP="000E3D68">
            <w:pPr>
              <w:jc w:val="cente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81.54%</w:t>
            </w:r>
          </w:p>
        </w:tc>
        <w:tc>
          <w:tcPr>
            <w:tcW w:w="1583" w:type="dxa"/>
            <w:tcBorders>
              <w:top w:val="single" w:sz="4" w:space="0" w:color="auto"/>
              <w:left w:val="nil"/>
              <w:bottom w:val="single" w:sz="4" w:space="0" w:color="auto"/>
              <w:right w:val="nil"/>
            </w:tcBorders>
            <w:shd w:val="clear" w:color="000000" w:fill="FFFFFF"/>
            <w:noWrap/>
            <w:vAlign w:val="bottom"/>
            <w:hideMark/>
          </w:tcPr>
          <w:p w14:paraId="4B0B9112" w14:textId="77777777" w:rsidR="000E3D68" w:rsidRPr="000E3D68" w:rsidRDefault="000E3D68" w:rsidP="000E3D68">
            <w:pPr>
              <w:jc w:val="cente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7.69%</w:t>
            </w:r>
          </w:p>
        </w:tc>
        <w:tc>
          <w:tcPr>
            <w:tcW w:w="1614" w:type="dxa"/>
            <w:tcBorders>
              <w:top w:val="single" w:sz="4" w:space="0" w:color="auto"/>
              <w:left w:val="nil"/>
              <w:bottom w:val="single" w:sz="4" w:space="0" w:color="auto"/>
              <w:right w:val="nil"/>
            </w:tcBorders>
            <w:shd w:val="clear" w:color="000000" w:fill="FFFFFF"/>
            <w:noWrap/>
            <w:vAlign w:val="bottom"/>
            <w:hideMark/>
          </w:tcPr>
          <w:p w14:paraId="15C92C1E" w14:textId="77777777" w:rsidR="000E3D68" w:rsidRPr="000E3D68" w:rsidRDefault="000E3D68" w:rsidP="000E3D68">
            <w:pPr>
              <w:jc w:val="center"/>
              <w:rPr>
                <w:rFonts w:ascii="Montserrat" w:eastAsia="Times New Roman" w:hAnsi="Montserrat" w:cs="Calibri"/>
                <w:b/>
                <w:bCs/>
                <w:color w:val="000000"/>
                <w:sz w:val="18"/>
                <w:szCs w:val="18"/>
                <w:lang w:val="es-MX" w:eastAsia="es-MX"/>
              </w:rPr>
            </w:pPr>
            <w:r w:rsidRPr="000E3D68">
              <w:rPr>
                <w:rFonts w:ascii="Montserrat" w:eastAsia="Times New Roman" w:hAnsi="Montserrat" w:cs="Calibri"/>
                <w:b/>
                <w:bCs/>
                <w:color w:val="000000"/>
                <w:sz w:val="18"/>
                <w:szCs w:val="18"/>
                <w:lang w:val="es-MX" w:eastAsia="es-MX"/>
              </w:rPr>
              <w:t>100.00%</w:t>
            </w:r>
          </w:p>
        </w:tc>
      </w:tr>
    </w:tbl>
    <w:p w14:paraId="75DF0062" w14:textId="77777777" w:rsidR="00ED25C1" w:rsidRDefault="00ED25C1" w:rsidP="00ED25C1">
      <w:pPr>
        <w:jc w:val="both"/>
      </w:pPr>
    </w:p>
    <w:p w14:paraId="071EAE9C" w14:textId="77777777" w:rsidR="000E3D68" w:rsidRDefault="000E3D68" w:rsidP="00ED25C1">
      <w:pPr>
        <w:jc w:val="both"/>
        <w:rPr>
          <w:rFonts w:ascii="Montserrat" w:hAnsi="Montserrat"/>
          <w:sz w:val="22"/>
          <w:szCs w:val="22"/>
        </w:rPr>
      </w:pPr>
    </w:p>
    <w:p w14:paraId="3F1D45A7" w14:textId="77777777" w:rsidR="000E3D68" w:rsidRDefault="000E3D68" w:rsidP="00ED25C1">
      <w:pPr>
        <w:jc w:val="both"/>
        <w:rPr>
          <w:rFonts w:ascii="Montserrat" w:hAnsi="Montserrat"/>
          <w:sz w:val="22"/>
          <w:szCs w:val="22"/>
        </w:rPr>
      </w:pPr>
    </w:p>
    <w:p w14:paraId="6105ED3C" w14:textId="77777777" w:rsidR="000E3D68" w:rsidRDefault="000E3D68" w:rsidP="00ED25C1">
      <w:pPr>
        <w:jc w:val="both"/>
        <w:rPr>
          <w:rFonts w:ascii="Montserrat" w:hAnsi="Montserrat"/>
          <w:sz w:val="22"/>
          <w:szCs w:val="22"/>
        </w:rPr>
      </w:pPr>
    </w:p>
    <w:p w14:paraId="3B6B0145" w14:textId="77777777" w:rsidR="000E3D68" w:rsidRDefault="000E3D68" w:rsidP="00ED25C1">
      <w:pPr>
        <w:jc w:val="both"/>
        <w:rPr>
          <w:rFonts w:ascii="Montserrat" w:hAnsi="Montserrat"/>
          <w:sz w:val="22"/>
          <w:szCs w:val="22"/>
        </w:rPr>
      </w:pPr>
    </w:p>
    <w:p w14:paraId="131C922E" w14:textId="77777777" w:rsidR="00ED25C1" w:rsidRPr="008A3990" w:rsidRDefault="00ED25C1" w:rsidP="00ED25C1">
      <w:pPr>
        <w:jc w:val="both"/>
        <w:rPr>
          <w:rFonts w:ascii="Montserrat" w:hAnsi="Montserrat"/>
          <w:sz w:val="22"/>
          <w:szCs w:val="22"/>
        </w:rPr>
      </w:pPr>
      <w:r w:rsidRPr="008A3990">
        <w:rPr>
          <w:rFonts w:ascii="Montserrat" w:hAnsi="Montserrat"/>
          <w:sz w:val="22"/>
          <w:szCs w:val="22"/>
        </w:rPr>
        <w:lastRenderedPageBreak/>
        <w:t>Con la información de los cuadros, puede apreciarse lo siguiente:</w:t>
      </w:r>
    </w:p>
    <w:p w14:paraId="4A20A795" w14:textId="77777777" w:rsidR="00ED25C1" w:rsidRPr="008A3990" w:rsidRDefault="00ED25C1" w:rsidP="00ED25C1">
      <w:pPr>
        <w:jc w:val="both"/>
        <w:rPr>
          <w:rFonts w:ascii="Montserrat" w:hAnsi="Montserrat"/>
          <w:sz w:val="22"/>
          <w:szCs w:val="22"/>
        </w:rPr>
      </w:pPr>
    </w:p>
    <w:p w14:paraId="61C9D3CC" w14:textId="77777777" w:rsidR="00ED25C1" w:rsidRPr="008A3990" w:rsidRDefault="00ED25C1" w:rsidP="00ED25C1">
      <w:pPr>
        <w:pStyle w:val="Prrafodelista"/>
        <w:numPr>
          <w:ilvl w:val="0"/>
          <w:numId w:val="3"/>
        </w:numPr>
        <w:jc w:val="both"/>
        <w:rPr>
          <w:rFonts w:ascii="Montserrat" w:hAnsi="Montserrat"/>
          <w:sz w:val="22"/>
          <w:szCs w:val="22"/>
        </w:rPr>
      </w:pPr>
      <w:r w:rsidRPr="008A3990">
        <w:rPr>
          <w:rFonts w:ascii="Montserrat" w:hAnsi="Montserrat"/>
          <w:sz w:val="22"/>
          <w:szCs w:val="22"/>
        </w:rPr>
        <w:t>De los 6</w:t>
      </w:r>
      <w:r w:rsidR="0061122F">
        <w:rPr>
          <w:rFonts w:ascii="Montserrat" w:hAnsi="Montserrat"/>
          <w:sz w:val="22"/>
          <w:szCs w:val="22"/>
        </w:rPr>
        <w:t>5</w:t>
      </w:r>
      <w:r w:rsidRPr="008A3990">
        <w:rPr>
          <w:rFonts w:ascii="Montserrat" w:hAnsi="Montserrat"/>
          <w:sz w:val="22"/>
          <w:szCs w:val="22"/>
        </w:rPr>
        <w:t xml:space="preserve"> indicadores registrados, </w:t>
      </w:r>
      <w:r w:rsidR="0061122F">
        <w:rPr>
          <w:rFonts w:ascii="Montserrat" w:hAnsi="Montserrat"/>
          <w:sz w:val="22"/>
          <w:szCs w:val="22"/>
        </w:rPr>
        <w:t>7</w:t>
      </w:r>
      <w:r w:rsidRPr="008A3990">
        <w:rPr>
          <w:rFonts w:ascii="Montserrat" w:hAnsi="Montserrat"/>
          <w:sz w:val="22"/>
          <w:szCs w:val="22"/>
        </w:rPr>
        <w:t xml:space="preserve"> muestran un desempeño menor al 80%; 5</w:t>
      </w:r>
      <w:r w:rsidR="0061122F">
        <w:rPr>
          <w:rFonts w:ascii="Montserrat" w:hAnsi="Montserrat"/>
          <w:sz w:val="22"/>
          <w:szCs w:val="22"/>
        </w:rPr>
        <w:t xml:space="preserve">3 </w:t>
      </w:r>
      <w:r w:rsidRPr="008A3990">
        <w:rPr>
          <w:rFonts w:ascii="Montserrat" w:hAnsi="Montserrat"/>
          <w:sz w:val="22"/>
          <w:szCs w:val="22"/>
        </w:rPr>
        <w:t xml:space="preserve">tienen un desempeño entre 80% y 115%; y </w:t>
      </w:r>
      <w:r w:rsidR="0061122F">
        <w:rPr>
          <w:rFonts w:ascii="Montserrat" w:hAnsi="Montserrat"/>
          <w:sz w:val="22"/>
          <w:szCs w:val="22"/>
        </w:rPr>
        <w:t>5</w:t>
      </w:r>
      <w:r w:rsidRPr="008A3990">
        <w:rPr>
          <w:rFonts w:ascii="Montserrat" w:hAnsi="Montserrat"/>
          <w:sz w:val="22"/>
          <w:szCs w:val="22"/>
        </w:rPr>
        <w:t xml:space="preserve"> reflejan un desempeño por arriba del 115%. En términos porcentuales, la distribución es </w:t>
      </w:r>
      <w:r w:rsidR="0061122F">
        <w:rPr>
          <w:rFonts w:ascii="Montserrat" w:hAnsi="Montserrat"/>
          <w:sz w:val="22"/>
          <w:szCs w:val="22"/>
        </w:rPr>
        <w:t>10.77</w:t>
      </w:r>
      <w:r w:rsidRPr="008A3990">
        <w:rPr>
          <w:rFonts w:ascii="Montserrat" w:hAnsi="Montserrat"/>
          <w:sz w:val="22"/>
          <w:szCs w:val="22"/>
        </w:rPr>
        <w:t xml:space="preserve">%, </w:t>
      </w:r>
      <w:r>
        <w:rPr>
          <w:rFonts w:ascii="Montserrat" w:hAnsi="Montserrat"/>
          <w:sz w:val="22"/>
          <w:szCs w:val="22"/>
        </w:rPr>
        <w:t>8</w:t>
      </w:r>
      <w:r w:rsidR="0061122F">
        <w:rPr>
          <w:rFonts w:ascii="Montserrat" w:hAnsi="Montserrat"/>
          <w:sz w:val="22"/>
          <w:szCs w:val="22"/>
        </w:rPr>
        <w:t>1.54</w:t>
      </w:r>
      <w:r w:rsidRPr="008A3990">
        <w:rPr>
          <w:rFonts w:ascii="Montserrat" w:hAnsi="Montserrat"/>
          <w:sz w:val="22"/>
          <w:szCs w:val="22"/>
        </w:rPr>
        <w:t xml:space="preserve">% y </w:t>
      </w:r>
      <w:r w:rsidR="0061122F">
        <w:rPr>
          <w:rFonts w:ascii="Montserrat" w:hAnsi="Montserrat"/>
          <w:sz w:val="22"/>
          <w:szCs w:val="22"/>
        </w:rPr>
        <w:t>7.69</w:t>
      </w:r>
      <w:r w:rsidRPr="008A3990">
        <w:rPr>
          <w:rFonts w:ascii="Montserrat" w:hAnsi="Montserrat"/>
          <w:sz w:val="22"/>
          <w:szCs w:val="22"/>
        </w:rPr>
        <w:t>%, respectivamente. Estos datos, expresan que la gran mayoría de los indicadores de los programas presupuestales de</w:t>
      </w:r>
      <w:r w:rsidR="007729D2">
        <w:rPr>
          <w:rFonts w:ascii="Montserrat" w:hAnsi="Montserrat"/>
          <w:sz w:val="22"/>
          <w:szCs w:val="22"/>
        </w:rPr>
        <w:t>l</w:t>
      </w:r>
      <w:r w:rsidRPr="008A3990">
        <w:rPr>
          <w:rFonts w:ascii="Montserrat" w:hAnsi="Montserrat"/>
          <w:sz w:val="22"/>
          <w:szCs w:val="22"/>
        </w:rPr>
        <w:t xml:space="preserve"> </w:t>
      </w:r>
      <w:r w:rsidR="007729D2">
        <w:rPr>
          <w:rFonts w:ascii="Montserrat" w:hAnsi="Montserrat"/>
          <w:sz w:val="22"/>
          <w:szCs w:val="22"/>
        </w:rPr>
        <w:t>Conacyt</w:t>
      </w:r>
      <w:r w:rsidRPr="008A3990">
        <w:rPr>
          <w:rFonts w:ascii="Montserrat" w:hAnsi="Montserrat"/>
          <w:sz w:val="22"/>
          <w:szCs w:val="22"/>
        </w:rPr>
        <w:t>, tuvieron un comportamiento adecuado, durante el cuarto trimestre del año.</w:t>
      </w:r>
    </w:p>
    <w:p w14:paraId="16CF1CB1" w14:textId="77777777" w:rsidR="00ED25C1" w:rsidRPr="001A5401" w:rsidRDefault="00ED25C1" w:rsidP="001A5401">
      <w:pPr>
        <w:jc w:val="both"/>
        <w:rPr>
          <w:rFonts w:ascii="Montserrat" w:hAnsi="Montserrat"/>
          <w:sz w:val="22"/>
          <w:szCs w:val="22"/>
        </w:rPr>
      </w:pPr>
    </w:p>
    <w:p w14:paraId="5E310C7D" w14:textId="4ECA8D90" w:rsidR="00024816" w:rsidRDefault="00BC4EF1" w:rsidP="00024816">
      <w:pPr>
        <w:pStyle w:val="Prrafodelista"/>
        <w:jc w:val="both"/>
        <w:rPr>
          <w:rFonts w:ascii="Montserrat" w:hAnsi="Montserrat"/>
          <w:sz w:val="22"/>
          <w:szCs w:val="22"/>
        </w:rPr>
      </w:pPr>
      <w:r>
        <w:rPr>
          <w:rFonts w:ascii="Montserrat" w:hAnsi="Montserrat"/>
          <w:sz w:val="22"/>
          <w:szCs w:val="22"/>
        </w:rPr>
        <w:t xml:space="preserve">Ahora bien, </w:t>
      </w:r>
      <w:r w:rsidR="003050AA">
        <w:rPr>
          <w:rFonts w:ascii="Montserrat" w:hAnsi="Montserrat"/>
          <w:sz w:val="22"/>
          <w:szCs w:val="22"/>
        </w:rPr>
        <w:t>aun cuando</w:t>
      </w:r>
      <w:r>
        <w:rPr>
          <w:rFonts w:ascii="Montserrat" w:hAnsi="Montserrat"/>
          <w:sz w:val="22"/>
          <w:szCs w:val="22"/>
        </w:rPr>
        <w:t xml:space="preserve"> el mayor número de los indicadores de desempeño tuv</w:t>
      </w:r>
      <w:r w:rsidR="00024816">
        <w:rPr>
          <w:rFonts w:ascii="Montserrat" w:hAnsi="Montserrat"/>
          <w:sz w:val="22"/>
          <w:szCs w:val="22"/>
        </w:rPr>
        <w:t>o</w:t>
      </w:r>
      <w:r>
        <w:rPr>
          <w:rFonts w:ascii="Montserrat" w:hAnsi="Montserrat"/>
          <w:sz w:val="22"/>
          <w:szCs w:val="22"/>
        </w:rPr>
        <w:t xml:space="preserve"> un </w:t>
      </w:r>
      <w:r w:rsidR="00DE1C08">
        <w:rPr>
          <w:rFonts w:ascii="Montserrat" w:hAnsi="Montserrat"/>
          <w:sz w:val="22"/>
          <w:szCs w:val="22"/>
        </w:rPr>
        <w:t>grad</w:t>
      </w:r>
      <w:r w:rsidR="00024816">
        <w:rPr>
          <w:rFonts w:ascii="Montserrat" w:hAnsi="Montserrat"/>
          <w:sz w:val="22"/>
          <w:szCs w:val="22"/>
        </w:rPr>
        <w:t>o</w:t>
      </w:r>
      <w:r w:rsidR="00DE1C08">
        <w:rPr>
          <w:rFonts w:ascii="Montserrat" w:hAnsi="Montserrat"/>
          <w:sz w:val="22"/>
          <w:szCs w:val="22"/>
        </w:rPr>
        <w:t xml:space="preserve"> de cumplimiento</w:t>
      </w:r>
      <w:r w:rsidR="00024816">
        <w:rPr>
          <w:rFonts w:ascii="Montserrat" w:hAnsi="Montserrat"/>
          <w:sz w:val="22"/>
          <w:szCs w:val="22"/>
        </w:rPr>
        <w:t xml:space="preserve"> satisfactorio</w:t>
      </w:r>
      <w:r w:rsidR="00DE1C08">
        <w:rPr>
          <w:rFonts w:ascii="Montserrat" w:hAnsi="Montserrat"/>
          <w:sz w:val="22"/>
          <w:szCs w:val="22"/>
        </w:rPr>
        <w:t xml:space="preserve">, explicaremos los casos de los 12 indicadores en donde se presentaron variaciones importantes: </w:t>
      </w:r>
    </w:p>
    <w:p w14:paraId="4730D1B6" w14:textId="77777777" w:rsidR="00024816" w:rsidRDefault="00024816" w:rsidP="00024816">
      <w:pPr>
        <w:pStyle w:val="Prrafodelista"/>
        <w:jc w:val="both"/>
        <w:rPr>
          <w:rFonts w:ascii="Montserrat" w:hAnsi="Montserrat" w:cs="Times New Roman"/>
          <w:sz w:val="22"/>
          <w:szCs w:val="22"/>
        </w:rPr>
      </w:pPr>
    </w:p>
    <w:p w14:paraId="3E102CB5" w14:textId="1AB9063B" w:rsidR="00ED25C1" w:rsidRDefault="00ED25C1" w:rsidP="00024816">
      <w:pPr>
        <w:pStyle w:val="Prrafodelista"/>
        <w:jc w:val="both"/>
        <w:rPr>
          <w:rFonts w:ascii="Montserrat" w:hAnsi="Montserrat" w:cs="Times New Roman"/>
          <w:sz w:val="22"/>
          <w:szCs w:val="22"/>
        </w:rPr>
      </w:pPr>
      <w:r w:rsidRPr="008A3990">
        <w:rPr>
          <w:rFonts w:ascii="Montserrat" w:hAnsi="Montserrat" w:cs="Times New Roman"/>
          <w:sz w:val="22"/>
          <w:szCs w:val="22"/>
        </w:rPr>
        <w:t xml:space="preserve">En el Programa E003 “Investigación científica, desarrollo e innovación”, </w:t>
      </w:r>
      <w:r w:rsidR="00D678F9">
        <w:rPr>
          <w:rFonts w:ascii="Montserrat" w:hAnsi="Montserrat" w:cs="Times New Roman"/>
          <w:sz w:val="22"/>
          <w:szCs w:val="22"/>
        </w:rPr>
        <w:t>c</w:t>
      </w:r>
      <w:r w:rsidR="0061122F" w:rsidRPr="0061122F">
        <w:rPr>
          <w:rFonts w:ascii="Montserrat" w:hAnsi="Montserrat" w:cs="Times New Roman"/>
          <w:sz w:val="22"/>
          <w:szCs w:val="22"/>
        </w:rPr>
        <w:t xml:space="preserve">on la reanudación de las actividades presenciales en los Centros Públicos, se pudieron llevar más actividades de divulgación en las instalaciones de los propios Centros, tales como </w:t>
      </w:r>
      <w:r w:rsidR="0064634D">
        <w:rPr>
          <w:rFonts w:ascii="Montserrat" w:hAnsi="Montserrat" w:cs="Times New Roman"/>
          <w:sz w:val="22"/>
          <w:szCs w:val="22"/>
        </w:rPr>
        <w:t>t</w:t>
      </w:r>
      <w:r w:rsidR="0061122F" w:rsidRPr="0061122F">
        <w:rPr>
          <w:rFonts w:ascii="Montserrat" w:hAnsi="Montserrat" w:cs="Times New Roman"/>
          <w:sz w:val="22"/>
          <w:szCs w:val="22"/>
        </w:rPr>
        <w:t xml:space="preserve">alleres, </w:t>
      </w:r>
      <w:r w:rsidR="0064634D">
        <w:rPr>
          <w:rFonts w:ascii="Montserrat" w:hAnsi="Montserrat" w:cs="Times New Roman"/>
          <w:sz w:val="22"/>
          <w:szCs w:val="22"/>
        </w:rPr>
        <w:t>c</w:t>
      </w:r>
      <w:r w:rsidR="0061122F" w:rsidRPr="0061122F">
        <w:rPr>
          <w:rFonts w:ascii="Montserrat" w:hAnsi="Montserrat" w:cs="Times New Roman"/>
          <w:sz w:val="22"/>
          <w:szCs w:val="22"/>
        </w:rPr>
        <w:t xml:space="preserve">onferencias, seminarios, congresos, </w:t>
      </w:r>
      <w:r w:rsidR="0064634D">
        <w:rPr>
          <w:rFonts w:ascii="Montserrat" w:hAnsi="Montserrat" w:cs="Times New Roman"/>
          <w:sz w:val="22"/>
          <w:szCs w:val="22"/>
        </w:rPr>
        <w:t>f</w:t>
      </w:r>
      <w:r w:rsidR="0061122F" w:rsidRPr="0061122F">
        <w:rPr>
          <w:rFonts w:ascii="Montserrat" w:hAnsi="Montserrat" w:cs="Times New Roman"/>
          <w:sz w:val="22"/>
          <w:szCs w:val="22"/>
        </w:rPr>
        <w:t>oros, visitas guiadas, entre otras</w:t>
      </w:r>
      <w:r w:rsidR="001A5401">
        <w:rPr>
          <w:rFonts w:ascii="Montserrat" w:hAnsi="Montserrat" w:cs="Times New Roman"/>
          <w:sz w:val="22"/>
          <w:szCs w:val="22"/>
        </w:rPr>
        <w:t>, lo que impactó en un cumplimiento mayor del indicador “</w:t>
      </w:r>
      <w:r w:rsidR="001A5401" w:rsidRPr="001A5401">
        <w:rPr>
          <w:rFonts w:ascii="Montserrat" w:hAnsi="Montserrat" w:cs="Times New Roman"/>
          <w:sz w:val="22"/>
          <w:szCs w:val="22"/>
        </w:rPr>
        <w:t>Razón de participación en actividades de divulgación</w:t>
      </w:r>
      <w:r w:rsidR="001A5401">
        <w:rPr>
          <w:rFonts w:ascii="Montserrat" w:hAnsi="Montserrat" w:cs="Times New Roman"/>
          <w:sz w:val="22"/>
          <w:szCs w:val="22"/>
        </w:rPr>
        <w:t xml:space="preserve">”, respecto de lo proyectado. </w:t>
      </w:r>
    </w:p>
    <w:p w14:paraId="0D8FEA0F" w14:textId="77777777" w:rsidR="0061122F" w:rsidRPr="008A3990" w:rsidRDefault="0061122F" w:rsidP="00ED25C1">
      <w:pPr>
        <w:pStyle w:val="Prrafodelista"/>
        <w:jc w:val="both"/>
        <w:rPr>
          <w:rFonts w:ascii="Montserrat" w:hAnsi="Montserrat" w:cs="Times New Roman"/>
          <w:sz w:val="22"/>
          <w:szCs w:val="22"/>
        </w:rPr>
      </w:pPr>
    </w:p>
    <w:p w14:paraId="6512F945" w14:textId="77777777" w:rsidR="00EA087B" w:rsidRDefault="00ED25C1" w:rsidP="002327D0">
      <w:pPr>
        <w:pStyle w:val="Prrafodelista"/>
        <w:jc w:val="both"/>
        <w:rPr>
          <w:rFonts w:ascii="Montserrat" w:hAnsi="Montserrat" w:cs="Times New Roman"/>
          <w:sz w:val="22"/>
          <w:szCs w:val="22"/>
        </w:rPr>
      </w:pPr>
      <w:r>
        <w:rPr>
          <w:rFonts w:ascii="Montserrat" w:hAnsi="Montserrat" w:cs="Times New Roman"/>
          <w:sz w:val="22"/>
          <w:szCs w:val="22"/>
        </w:rPr>
        <w:t>Con relación al P</w:t>
      </w:r>
      <w:r w:rsidRPr="008A3990">
        <w:rPr>
          <w:rFonts w:ascii="Montserrat" w:hAnsi="Montserrat" w:cs="Times New Roman"/>
          <w:sz w:val="22"/>
          <w:szCs w:val="22"/>
        </w:rPr>
        <w:t>rograma F00</w:t>
      </w:r>
      <w:r>
        <w:rPr>
          <w:rFonts w:ascii="Montserrat" w:hAnsi="Montserrat" w:cs="Times New Roman"/>
          <w:sz w:val="22"/>
          <w:szCs w:val="22"/>
        </w:rPr>
        <w:t>3</w:t>
      </w:r>
      <w:r w:rsidRPr="008A3990">
        <w:rPr>
          <w:rFonts w:ascii="Montserrat" w:hAnsi="Montserrat" w:cs="Times New Roman"/>
          <w:sz w:val="22"/>
          <w:szCs w:val="22"/>
        </w:rPr>
        <w:t xml:space="preserve"> </w:t>
      </w:r>
      <w:bookmarkStart w:id="1" w:name="_Hlk125041850"/>
      <w:r w:rsidRPr="008A3990">
        <w:rPr>
          <w:rFonts w:ascii="Montserrat" w:hAnsi="Montserrat" w:cs="Times New Roman"/>
          <w:sz w:val="22"/>
          <w:szCs w:val="22"/>
        </w:rPr>
        <w:t>“Programas nacionales estratégicos de ciencia, tecnología y vinculación con el sector social, público y privado”</w:t>
      </w:r>
      <w:bookmarkEnd w:id="1"/>
      <w:r w:rsidRPr="008A3990">
        <w:rPr>
          <w:rFonts w:ascii="Montserrat" w:hAnsi="Montserrat" w:cs="Times New Roman"/>
          <w:sz w:val="22"/>
          <w:szCs w:val="22"/>
        </w:rPr>
        <w:t>,</w:t>
      </w:r>
      <w:r>
        <w:rPr>
          <w:rFonts w:ascii="Montserrat" w:hAnsi="Montserrat" w:cs="Times New Roman"/>
          <w:sz w:val="22"/>
          <w:szCs w:val="22"/>
        </w:rPr>
        <w:t xml:space="preserve"> </w:t>
      </w:r>
      <w:r w:rsidR="002327D0">
        <w:rPr>
          <w:rFonts w:ascii="Montserrat" w:hAnsi="Montserrat" w:cs="Times New Roman"/>
          <w:sz w:val="22"/>
          <w:szCs w:val="22"/>
        </w:rPr>
        <w:t xml:space="preserve">en el caso del indicador </w:t>
      </w:r>
      <w:r w:rsidR="00E90538">
        <w:rPr>
          <w:rFonts w:ascii="Montserrat" w:hAnsi="Montserrat" w:cs="Times New Roman"/>
          <w:sz w:val="22"/>
          <w:szCs w:val="22"/>
        </w:rPr>
        <w:t>“</w:t>
      </w:r>
      <w:r w:rsidR="00E90538" w:rsidRPr="00E90538">
        <w:rPr>
          <w:rFonts w:ascii="Montserrat" w:hAnsi="Montserrat" w:cs="Times New Roman"/>
          <w:sz w:val="22"/>
          <w:szCs w:val="22"/>
        </w:rPr>
        <w:t>Porcentaje de proyectos por encargo de Estado apoyados</w:t>
      </w:r>
      <w:r w:rsidR="00E90538">
        <w:rPr>
          <w:rFonts w:ascii="Montserrat" w:hAnsi="Montserrat" w:cs="Times New Roman"/>
          <w:sz w:val="22"/>
          <w:szCs w:val="22"/>
        </w:rPr>
        <w:t>”, se</w:t>
      </w:r>
      <w:r w:rsidR="00E90538" w:rsidRPr="00E90538">
        <w:rPr>
          <w:rFonts w:ascii="Montserrat" w:hAnsi="Montserrat" w:cs="Times New Roman"/>
          <w:sz w:val="22"/>
          <w:szCs w:val="22"/>
        </w:rPr>
        <w:t xml:space="preserve"> observó </w:t>
      </w:r>
      <w:r w:rsidR="00851C6E" w:rsidRPr="00E90538">
        <w:rPr>
          <w:rFonts w:ascii="Montserrat" w:hAnsi="Montserrat" w:cs="Times New Roman"/>
          <w:sz w:val="22"/>
          <w:szCs w:val="22"/>
        </w:rPr>
        <w:t>una menor demanda</w:t>
      </w:r>
      <w:r w:rsidR="00E82895">
        <w:rPr>
          <w:rFonts w:ascii="Montserrat" w:hAnsi="Montserrat" w:cs="Times New Roman"/>
          <w:sz w:val="22"/>
          <w:szCs w:val="22"/>
        </w:rPr>
        <w:t xml:space="preserve"> </w:t>
      </w:r>
      <w:r w:rsidR="00E90538" w:rsidRPr="00E90538">
        <w:rPr>
          <w:rFonts w:ascii="Montserrat" w:hAnsi="Montserrat" w:cs="Times New Roman"/>
          <w:sz w:val="22"/>
          <w:szCs w:val="22"/>
        </w:rPr>
        <w:t>en las propuestas de la modalidad por encargo de Estado, quedando 40.71% por debajo de la meta planeada.</w:t>
      </w:r>
    </w:p>
    <w:p w14:paraId="23F1B245" w14:textId="77777777" w:rsidR="00001B80" w:rsidRDefault="00001B80" w:rsidP="002327D0">
      <w:pPr>
        <w:pStyle w:val="Prrafodelista"/>
        <w:jc w:val="both"/>
        <w:rPr>
          <w:rFonts w:ascii="Montserrat" w:hAnsi="Montserrat" w:cs="Times New Roman"/>
          <w:sz w:val="22"/>
          <w:szCs w:val="22"/>
        </w:rPr>
      </w:pPr>
    </w:p>
    <w:p w14:paraId="0A50D19E" w14:textId="77777777" w:rsidR="00BE0997" w:rsidRDefault="00443C77" w:rsidP="00001B80">
      <w:pPr>
        <w:pStyle w:val="Prrafodelista"/>
        <w:jc w:val="both"/>
        <w:rPr>
          <w:rFonts w:ascii="Montserrat" w:hAnsi="Montserrat" w:cs="Times New Roman"/>
          <w:sz w:val="22"/>
          <w:szCs w:val="22"/>
        </w:rPr>
      </w:pPr>
      <w:r>
        <w:rPr>
          <w:rFonts w:ascii="Montserrat" w:hAnsi="Montserrat" w:cs="Times New Roman"/>
          <w:sz w:val="22"/>
          <w:szCs w:val="22"/>
        </w:rPr>
        <w:t>Lo anterior se debió, en gran parte</w:t>
      </w:r>
      <w:r w:rsidR="00561B8B">
        <w:rPr>
          <w:rFonts w:ascii="Montserrat" w:hAnsi="Montserrat" w:cs="Times New Roman"/>
          <w:sz w:val="22"/>
          <w:szCs w:val="22"/>
        </w:rPr>
        <w:t>,</w:t>
      </w:r>
      <w:r>
        <w:rPr>
          <w:rFonts w:ascii="Montserrat" w:hAnsi="Montserrat" w:cs="Times New Roman"/>
          <w:sz w:val="22"/>
          <w:szCs w:val="22"/>
        </w:rPr>
        <w:t xml:space="preserve"> a que</w:t>
      </w:r>
      <w:r w:rsidR="00463911">
        <w:rPr>
          <w:rFonts w:ascii="Montserrat" w:hAnsi="Montserrat" w:cs="Times New Roman"/>
          <w:sz w:val="22"/>
          <w:szCs w:val="22"/>
        </w:rPr>
        <w:t xml:space="preserve"> </w:t>
      </w:r>
      <w:r w:rsidR="00001B80" w:rsidRPr="00E21DD1">
        <w:rPr>
          <w:rFonts w:ascii="Montserrat" w:hAnsi="Montserrat" w:cs="Times New Roman"/>
          <w:sz w:val="22"/>
          <w:szCs w:val="22"/>
        </w:rPr>
        <w:t xml:space="preserve">en los </w:t>
      </w:r>
      <w:r w:rsidR="00626DC0">
        <w:rPr>
          <w:rFonts w:ascii="Montserrat" w:hAnsi="Montserrat" w:cs="Times New Roman"/>
          <w:sz w:val="22"/>
          <w:szCs w:val="22"/>
        </w:rPr>
        <w:t>dos</w:t>
      </w:r>
      <w:r w:rsidR="00001B80" w:rsidRPr="00E21DD1">
        <w:rPr>
          <w:rFonts w:ascii="Montserrat" w:hAnsi="Montserrat" w:cs="Times New Roman"/>
          <w:sz w:val="22"/>
          <w:szCs w:val="22"/>
        </w:rPr>
        <w:t xml:space="preserve"> últimos meses del primer semestre </w:t>
      </w:r>
      <w:r w:rsidR="00463911">
        <w:rPr>
          <w:rFonts w:ascii="Montserrat" w:hAnsi="Montserrat" w:cs="Times New Roman"/>
          <w:sz w:val="22"/>
          <w:szCs w:val="22"/>
        </w:rPr>
        <w:t>se presentó el mayor</w:t>
      </w:r>
      <w:r w:rsidR="00001B80" w:rsidRPr="00E21DD1">
        <w:rPr>
          <w:rFonts w:ascii="Montserrat" w:hAnsi="Montserrat" w:cs="Times New Roman"/>
          <w:sz w:val="22"/>
          <w:szCs w:val="22"/>
        </w:rPr>
        <w:t xml:space="preserve"> número de apoyos en la modalidad de proyectos por Encargo de estado</w:t>
      </w:r>
      <w:r w:rsidR="00EE78E1">
        <w:rPr>
          <w:rFonts w:ascii="Montserrat" w:hAnsi="Montserrat" w:cs="Times New Roman"/>
          <w:sz w:val="22"/>
          <w:szCs w:val="22"/>
        </w:rPr>
        <w:t xml:space="preserve">, impactando </w:t>
      </w:r>
      <w:r w:rsidR="00463911">
        <w:rPr>
          <w:rFonts w:ascii="Montserrat" w:hAnsi="Montserrat" w:cs="Times New Roman"/>
          <w:sz w:val="22"/>
          <w:szCs w:val="22"/>
        </w:rPr>
        <w:t>la tendencia de crecimient</w:t>
      </w:r>
      <w:r w:rsidR="00561B8B">
        <w:rPr>
          <w:rFonts w:ascii="Montserrat" w:hAnsi="Montserrat" w:cs="Times New Roman"/>
          <w:sz w:val="22"/>
          <w:szCs w:val="22"/>
        </w:rPr>
        <w:t>o</w:t>
      </w:r>
      <w:r w:rsidR="00EE78E1">
        <w:rPr>
          <w:rFonts w:ascii="Montserrat" w:hAnsi="Montserrat" w:cs="Times New Roman"/>
          <w:sz w:val="22"/>
          <w:szCs w:val="22"/>
        </w:rPr>
        <w:t xml:space="preserve"> de los apoyos en esta modalidad</w:t>
      </w:r>
      <w:r w:rsidR="00561B8B">
        <w:rPr>
          <w:rFonts w:ascii="Montserrat" w:hAnsi="Montserrat" w:cs="Times New Roman"/>
          <w:sz w:val="22"/>
          <w:szCs w:val="22"/>
        </w:rPr>
        <w:t xml:space="preserve"> para los siguientes meses.</w:t>
      </w:r>
    </w:p>
    <w:p w14:paraId="598657FD" w14:textId="77777777" w:rsidR="00BE0997" w:rsidRDefault="00BE0997" w:rsidP="00001B80">
      <w:pPr>
        <w:pStyle w:val="Prrafodelista"/>
        <w:jc w:val="both"/>
        <w:rPr>
          <w:rFonts w:ascii="Montserrat" w:hAnsi="Montserrat" w:cs="Times New Roman"/>
          <w:sz w:val="22"/>
          <w:szCs w:val="22"/>
        </w:rPr>
      </w:pPr>
    </w:p>
    <w:p w14:paraId="11EA6A97" w14:textId="19FA9CF6" w:rsidR="002C3256" w:rsidRDefault="002C3256" w:rsidP="002327D0">
      <w:pPr>
        <w:pStyle w:val="Prrafodelista"/>
        <w:jc w:val="both"/>
        <w:rPr>
          <w:rFonts w:ascii="Montserrat" w:hAnsi="Montserrat" w:cs="Times New Roman"/>
          <w:sz w:val="22"/>
          <w:szCs w:val="22"/>
        </w:rPr>
      </w:pPr>
      <w:r w:rsidRPr="00E21DD1">
        <w:rPr>
          <w:rFonts w:ascii="Montserrat" w:hAnsi="Montserrat" w:cs="Times New Roman"/>
          <w:sz w:val="22"/>
          <w:szCs w:val="22"/>
        </w:rPr>
        <w:t xml:space="preserve">En el indicador “Porcentaje de proyectos formalizados”, la meta lograda resultó inferior a la planeada, debido a que </w:t>
      </w:r>
      <w:r w:rsidR="00E21DD1">
        <w:rPr>
          <w:rFonts w:ascii="Montserrat" w:hAnsi="Montserrat" w:cs="Times New Roman"/>
          <w:sz w:val="22"/>
          <w:szCs w:val="22"/>
        </w:rPr>
        <w:t>l</w:t>
      </w:r>
      <w:r w:rsidR="00E21DD1" w:rsidRPr="00E21DD1">
        <w:rPr>
          <w:rFonts w:ascii="Montserrat" w:hAnsi="Montserrat" w:cs="Times New Roman"/>
          <w:sz w:val="22"/>
          <w:szCs w:val="22"/>
        </w:rPr>
        <w:t xml:space="preserve">as propuestas formalizadas </w:t>
      </w:r>
      <w:r w:rsidR="00246A8D">
        <w:rPr>
          <w:rFonts w:ascii="Montserrat" w:hAnsi="Montserrat" w:cs="Times New Roman"/>
          <w:sz w:val="22"/>
          <w:szCs w:val="22"/>
        </w:rPr>
        <w:t>fueron</w:t>
      </w:r>
      <w:r w:rsidR="00246A8D" w:rsidRPr="00E21DD1">
        <w:rPr>
          <w:rFonts w:ascii="Montserrat" w:hAnsi="Montserrat" w:cs="Times New Roman"/>
          <w:sz w:val="22"/>
          <w:szCs w:val="22"/>
        </w:rPr>
        <w:t xml:space="preserve"> </w:t>
      </w:r>
      <w:r w:rsidR="00E21DD1" w:rsidRPr="00E21DD1">
        <w:rPr>
          <w:rFonts w:ascii="Montserrat" w:hAnsi="Montserrat" w:cs="Times New Roman"/>
          <w:sz w:val="22"/>
          <w:szCs w:val="22"/>
        </w:rPr>
        <w:t>más que l</w:t>
      </w:r>
      <w:r w:rsidR="00246A8D">
        <w:rPr>
          <w:rFonts w:ascii="Montserrat" w:hAnsi="Montserrat" w:cs="Times New Roman"/>
          <w:sz w:val="22"/>
          <w:szCs w:val="22"/>
        </w:rPr>
        <w:t>a</w:t>
      </w:r>
      <w:r w:rsidR="00E21DD1" w:rsidRPr="00E21DD1">
        <w:rPr>
          <w:rFonts w:ascii="Montserrat" w:hAnsi="Montserrat" w:cs="Times New Roman"/>
          <w:sz w:val="22"/>
          <w:szCs w:val="22"/>
        </w:rPr>
        <w:t>s aprobadas por el CTA</w:t>
      </w:r>
      <w:r w:rsidR="00246A8D">
        <w:rPr>
          <w:rFonts w:ascii="Montserrat" w:hAnsi="Montserrat" w:cs="Times New Roman"/>
          <w:sz w:val="22"/>
          <w:szCs w:val="22"/>
        </w:rPr>
        <w:t xml:space="preserve"> en el mismo periodo. E</w:t>
      </w:r>
      <w:r w:rsidR="00E21DD1" w:rsidRPr="00E21DD1">
        <w:rPr>
          <w:rFonts w:ascii="Montserrat" w:hAnsi="Montserrat" w:cs="Times New Roman"/>
          <w:sz w:val="22"/>
          <w:szCs w:val="22"/>
        </w:rPr>
        <w:t>sto se debe a que se formaliza</w:t>
      </w:r>
      <w:r w:rsidR="00246A8D">
        <w:rPr>
          <w:rFonts w:ascii="Montserrat" w:hAnsi="Montserrat" w:cs="Times New Roman"/>
          <w:sz w:val="22"/>
          <w:szCs w:val="22"/>
        </w:rPr>
        <w:t>ron</w:t>
      </w:r>
      <w:r w:rsidR="002B26F6">
        <w:rPr>
          <w:rFonts w:ascii="Montserrat" w:hAnsi="Montserrat" w:cs="Times New Roman"/>
          <w:sz w:val="22"/>
          <w:szCs w:val="22"/>
        </w:rPr>
        <w:t xml:space="preserve"> proyectos</w:t>
      </w:r>
      <w:r w:rsidR="00440C94">
        <w:rPr>
          <w:rFonts w:ascii="Montserrat" w:hAnsi="Montserrat" w:cs="Times New Roman"/>
          <w:sz w:val="22"/>
          <w:szCs w:val="22"/>
        </w:rPr>
        <w:t xml:space="preserve"> que habían sido</w:t>
      </w:r>
      <w:r w:rsidR="00E21DD1" w:rsidRPr="00E21DD1">
        <w:rPr>
          <w:rFonts w:ascii="Montserrat" w:hAnsi="Montserrat" w:cs="Times New Roman"/>
          <w:sz w:val="22"/>
          <w:szCs w:val="22"/>
        </w:rPr>
        <w:t xml:space="preserve"> </w:t>
      </w:r>
      <w:r w:rsidR="00246A8D">
        <w:rPr>
          <w:rFonts w:ascii="Montserrat" w:hAnsi="Montserrat" w:cs="Times New Roman"/>
          <w:sz w:val="22"/>
          <w:szCs w:val="22"/>
        </w:rPr>
        <w:t>aprobados en</w:t>
      </w:r>
      <w:r w:rsidR="00E21DD1" w:rsidRPr="00E21DD1">
        <w:rPr>
          <w:rFonts w:ascii="Montserrat" w:hAnsi="Montserrat" w:cs="Times New Roman"/>
          <w:sz w:val="22"/>
          <w:szCs w:val="22"/>
        </w:rPr>
        <w:t xml:space="preserve"> trimestres anteriores</w:t>
      </w:r>
      <w:r w:rsidR="00B270DE">
        <w:rPr>
          <w:rFonts w:ascii="Montserrat" w:hAnsi="Montserrat" w:cs="Times New Roman"/>
          <w:sz w:val="22"/>
          <w:szCs w:val="22"/>
        </w:rPr>
        <w:t xml:space="preserve">; </w:t>
      </w:r>
      <w:r w:rsidR="00B270DE" w:rsidRPr="00085A91">
        <w:rPr>
          <w:rFonts w:ascii="Montserrat" w:hAnsi="Montserrat" w:cs="Times New Roman"/>
          <w:sz w:val="22"/>
          <w:szCs w:val="22"/>
        </w:rPr>
        <w:t>derivado</w:t>
      </w:r>
      <w:r w:rsidR="00542500">
        <w:rPr>
          <w:rFonts w:ascii="Montserrat" w:hAnsi="Montserrat" w:cs="Times New Roman"/>
          <w:sz w:val="22"/>
          <w:szCs w:val="22"/>
        </w:rPr>
        <w:t>,</w:t>
      </w:r>
      <w:r w:rsidR="00B270DE" w:rsidRPr="00085A91">
        <w:rPr>
          <w:rFonts w:ascii="Montserrat" w:hAnsi="Montserrat" w:cs="Times New Roman"/>
          <w:sz w:val="22"/>
          <w:szCs w:val="22"/>
        </w:rPr>
        <w:t xml:space="preserve"> en parte</w:t>
      </w:r>
      <w:r w:rsidR="00542500">
        <w:rPr>
          <w:rFonts w:ascii="Montserrat" w:hAnsi="Montserrat" w:cs="Times New Roman"/>
          <w:sz w:val="22"/>
          <w:szCs w:val="22"/>
        </w:rPr>
        <w:t>,</w:t>
      </w:r>
      <w:r w:rsidR="00B270DE" w:rsidRPr="00085A91">
        <w:rPr>
          <w:rFonts w:ascii="Montserrat" w:hAnsi="Montserrat" w:cs="Times New Roman"/>
          <w:sz w:val="22"/>
          <w:szCs w:val="22"/>
        </w:rPr>
        <w:t xml:space="preserve"> </w:t>
      </w:r>
      <w:r w:rsidR="001D4FD4" w:rsidRPr="00561005">
        <w:rPr>
          <w:rFonts w:ascii="Montserrat" w:hAnsi="Montserrat" w:cs="Times New Roman"/>
          <w:sz w:val="22"/>
          <w:szCs w:val="22"/>
        </w:rPr>
        <w:t xml:space="preserve">al tiempo que </w:t>
      </w:r>
      <w:r w:rsidR="00B270DE" w:rsidRPr="00085A91">
        <w:rPr>
          <w:rFonts w:ascii="Montserrat" w:hAnsi="Montserrat" w:cs="Times New Roman"/>
          <w:sz w:val="22"/>
          <w:szCs w:val="22"/>
        </w:rPr>
        <w:t>los</w:t>
      </w:r>
      <w:r w:rsidR="001D4FD4" w:rsidRPr="00561005">
        <w:rPr>
          <w:rFonts w:ascii="Montserrat" w:hAnsi="Montserrat" w:cs="Times New Roman"/>
          <w:sz w:val="22"/>
          <w:szCs w:val="22"/>
        </w:rPr>
        <w:t xml:space="preserve"> s</w:t>
      </w:r>
      <w:r w:rsidR="00B270DE" w:rsidRPr="00085A91">
        <w:rPr>
          <w:rFonts w:ascii="Montserrat" w:hAnsi="Montserrat" w:cs="Times New Roman"/>
          <w:sz w:val="22"/>
          <w:szCs w:val="22"/>
        </w:rPr>
        <w:t>ujetos de apoyo</w:t>
      </w:r>
      <w:r w:rsidR="001D4FD4" w:rsidRPr="00561005">
        <w:rPr>
          <w:rFonts w:ascii="Montserrat" w:hAnsi="Montserrat" w:cs="Times New Roman"/>
          <w:sz w:val="22"/>
          <w:szCs w:val="22"/>
        </w:rPr>
        <w:t xml:space="preserve"> </w:t>
      </w:r>
      <w:r w:rsidR="003C4E24" w:rsidRPr="00561005">
        <w:rPr>
          <w:rFonts w:ascii="Montserrat" w:hAnsi="Montserrat" w:cs="Times New Roman"/>
          <w:sz w:val="22"/>
          <w:szCs w:val="22"/>
        </w:rPr>
        <w:t>utilizaron para</w:t>
      </w:r>
      <w:r w:rsidR="00B270DE" w:rsidRPr="00085A91">
        <w:rPr>
          <w:rFonts w:ascii="Montserrat" w:hAnsi="Montserrat" w:cs="Times New Roman"/>
          <w:sz w:val="22"/>
          <w:szCs w:val="22"/>
        </w:rPr>
        <w:t xml:space="preserve"> completar la documentación</w:t>
      </w:r>
      <w:r w:rsidR="00E70B32">
        <w:rPr>
          <w:rFonts w:ascii="Montserrat" w:hAnsi="Montserrat" w:cs="Times New Roman"/>
          <w:sz w:val="22"/>
          <w:szCs w:val="22"/>
        </w:rPr>
        <w:t xml:space="preserve"> y las gestiones administrativas</w:t>
      </w:r>
      <w:r w:rsidR="00B270DE" w:rsidRPr="00085A91">
        <w:rPr>
          <w:rFonts w:ascii="Montserrat" w:hAnsi="Montserrat" w:cs="Times New Roman"/>
          <w:sz w:val="22"/>
          <w:szCs w:val="22"/>
        </w:rPr>
        <w:t xml:space="preserve"> para la formalización</w:t>
      </w:r>
      <w:r w:rsidR="00B270DE" w:rsidRPr="00E70B32">
        <w:rPr>
          <w:rFonts w:ascii="Montserrat" w:hAnsi="Montserrat" w:cs="Times New Roman"/>
          <w:sz w:val="22"/>
          <w:szCs w:val="22"/>
        </w:rPr>
        <w:t>.</w:t>
      </w:r>
    </w:p>
    <w:p w14:paraId="6907E8FC" w14:textId="77777777" w:rsidR="00A36A6B" w:rsidRPr="002B26F6" w:rsidRDefault="00A36A6B" w:rsidP="002B26F6">
      <w:pPr>
        <w:jc w:val="both"/>
        <w:rPr>
          <w:rFonts w:ascii="Montserrat" w:hAnsi="Montserrat" w:cs="Times New Roman"/>
          <w:sz w:val="22"/>
          <w:szCs w:val="22"/>
        </w:rPr>
      </w:pPr>
    </w:p>
    <w:p w14:paraId="6F820C59" w14:textId="741F304E" w:rsidR="00A36A6B" w:rsidRPr="00E21DD1" w:rsidRDefault="00A36A6B" w:rsidP="002327D0">
      <w:pPr>
        <w:pStyle w:val="Prrafodelista"/>
        <w:jc w:val="both"/>
        <w:rPr>
          <w:rFonts w:ascii="Montserrat" w:hAnsi="Montserrat" w:cs="Times New Roman"/>
          <w:sz w:val="22"/>
          <w:szCs w:val="22"/>
        </w:rPr>
      </w:pPr>
      <w:r w:rsidRPr="00E21DD1">
        <w:rPr>
          <w:rFonts w:ascii="Montserrat" w:hAnsi="Montserrat" w:cs="Times New Roman"/>
          <w:sz w:val="22"/>
          <w:szCs w:val="22"/>
        </w:rPr>
        <w:t xml:space="preserve">En lo que atañe al indicador </w:t>
      </w:r>
      <w:r w:rsidR="0079192B" w:rsidRPr="00E21DD1">
        <w:rPr>
          <w:rFonts w:ascii="Montserrat" w:hAnsi="Montserrat" w:cs="Times New Roman"/>
          <w:sz w:val="22"/>
          <w:szCs w:val="22"/>
        </w:rPr>
        <w:t>de “</w:t>
      </w:r>
      <w:r w:rsidRPr="00E21DD1">
        <w:rPr>
          <w:rFonts w:ascii="Montserrat" w:hAnsi="Montserrat" w:cs="Times New Roman"/>
          <w:sz w:val="22"/>
          <w:szCs w:val="22"/>
        </w:rPr>
        <w:t>Porcentaje de convocatorias emitidas”, la meta no fue consumada, toda vez</w:t>
      </w:r>
      <w:r w:rsidR="0079192B" w:rsidRPr="00E21DD1">
        <w:rPr>
          <w:rFonts w:ascii="Montserrat" w:hAnsi="Montserrat" w:cs="Times New Roman"/>
          <w:sz w:val="22"/>
          <w:szCs w:val="22"/>
        </w:rPr>
        <w:t>, solamente se publicó 1 de las 2 que se tenían contempladas.</w:t>
      </w:r>
      <w:r w:rsidR="006F1CD3" w:rsidRPr="006F1CD3">
        <w:rPr>
          <w:rFonts w:ascii="Montserrat" w:hAnsi="Montserrat" w:cs="Times New Roman"/>
          <w:sz w:val="22"/>
          <w:szCs w:val="22"/>
        </w:rPr>
        <w:t xml:space="preserve"> </w:t>
      </w:r>
      <w:r w:rsidR="008110E7">
        <w:rPr>
          <w:rFonts w:ascii="Montserrat" w:hAnsi="Montserrat" w:cs="Times New Roman"/>
          <w:sz w:val="22"/>
          <w:szCs w:val="22"/>
        </w:rPr>
        <w:t>Específicamente, e</w:t>
      </w:r>
      <w:r w:rsidR="006F1CD3" w:rsidRPr="00E21DD1">
        <w:rPr>
          <w:rFonts w:ascii="Montserrat" w:hAnsi="Montserrat" w:cs="Times New Roman"/>
          <w:sz w:val="22"/>
          <w:szCs w:val="22"/>
        </w:rPr>
        <w:t xml:space="preserve">n el cuarto trimestre de 2022, </w:t>
      </w:r>
      <w:r w:rsidR="006F1CD3">
        <w:rPr>
          <w:rFonts w:ascii="Montserrat" w:hAnsi="Montserrat" w:cs="Times New Roman"/>
          <w:sz w:val="22"/>
          <w:szCs w:val="22"/>
        </w:rPr>
        <w:t xml:space="preserve">únicamente </w:t>
      </w:r>
      <w:r w:rsidR="006F1CD3" w:rsidRPr="00E21DD1">
        <w:rPr>
          <w:rFonts w:ascii="Montserrat" w:hAnsi="Montserrat" w:cs="Times New Roman"/>
          <w:sz w:val="22"/>
          <w:szCs w:val="22"/>
        </w:rPr>
        <w:t>se publicó la Convocatoria Puerta Horizonte Europa 2022 – 2024.</w:t>
      </w:r>
      <w:r w:rsidR="00E70B32">
        <w:rPr>
          <w:rFonts w:ascii="Montserrat" w:hAnsi="Montserrat" w:cs="Times New Roman"/>
          <w:sz w:val="22"/>
          <w:szCs w:val="22"/>
        </w:rPr>
        <w:t xml:space="preserve"> Hay que precisar que </w:t>
      </w:r>
      <w:r w:rsidR="00E70B32">
        <w:rPr>
          <w:rFonts w:ascii="Montserrat" w:hAnsi="Montserrat" w:cs="Times New Roman"/>
          <w:sz w:val="22"/>
          <w:szCs w:val="22"/>
        </w:rPr>
        <w:lastRenderedPageBreak/>
        <w:t xml:space="preserve">el número de convocatorias que se emiten depende de los intereses y necesidades de las Secretarías Técnicas.  </w:t>
      </w:r>
    </w:p>
    <w:p w14:paraId="5C0FD5E6" w14:textId="77777777" w:rsidR="00E6140C" w:rsidRPr="00E70B32" w:rsidRDefault="00E6140C" w:rsidP="00E70B32">
      <w:pPr>
        <w:jc w:val="both"/>
        <w:rPr>
          <w:rFonts w:ascii="Montserrat" w:hAnsi="Montserrat" w:cs="Times New Roman"/>
          <w:sz w:val="22"/>
          <w:szCs w:val="22"/>
        </w:rPr>
      </w:pPr>
    </w:p>
    <w:p w14:paraId="668DB7C9" w14:textId="3CA43C30" w:rsidR="0079192B" w:rsidRPr="00E21DD1" w:rsidRDefault="0079192B" w:rsidP="002327D0">
      <w:pPr>
        <w:pStyle w:val="Prrafodelista"/>
        <w:jc w:val="both"/>
        <w:rPr>
          <w:rFonts w:ascii="Montserrat" w:hAnsi="Montserrat" w:cs="Times New Roman"/>
          <w:sz w:val="22"/>
          <w:szCs w:val="22"/>
        </w:rPr>
      </w:pPr>
      <w:r w:rsidRPr="00E21DD1">
        <w:rPr>
          <w:rFonts w:ascii="Montserrat" w:hAnsi="Montserrat" w:cs="Times New Roman"/>
          <w:sz w:val="22"/>
          <w:szCs w:val="22"/>
        </w:rPr>
        <w:t xml:space="preserve">Por otra parte, </w:t>
      </w:r>
      <w:r w:rsidR="005049BC" w:rsidRPr="00E21DD1">
        <w:rPr>
          <w:rFonts w:ascii="Montserrat" w:hAnsi="Montserrat" w:cs="Times New Roman"/>
          <w:sz w:val="22"/>
          <w:szCs w:val="22"/>
        </w:rPr>
        <w:t xml:space="preserve">en </w:t>
      </w:r>
      <w:r w:rsidRPr="00E21DD1">
        <w:rPr>
          <w:rFonts w:ascii="Montserrat" w:hAnsi="Montserrat" w:cs="Times New Roman"/>
          <w:sz w:val="22"/>
          <w:szCs w:val="22"/>
        </w:rPr>
        <w:t xml:space="preserve">el indicador </w:t>
      </w:r>
      <w:r w:rsidR="00AC0B1B" w:rsidRPr="00E21DD1">
        <w:rPr>
          <w:rFonts w:ascii="Montserrat" w:hAnsi="Montserrat" w:cs="Times New Roman"/>
          <w:sz w:val="22"/>
          <w:szCs w:val="22"/>
        </w:rPr>
        <w:t xml:space="preserve">“Porcentaje de proyectos de actividades generales de Ciencia, Tecnología e Innovación y acceso al conocimiento apoyados” </w:t>
      </w:r>
      <w:r w:rsidR="00C6340C" w:rsidRPr="00E21DD1">
        <w:rPr>
          <w:rFonts w:ascii="Montserrat" w:hAnsi="Montserrat" w:cs="Times New Roman"/>
          <w:sz w:val="22"/>
          <w:szCs w:val="22"/>
        </w:rPr>
        <w:t>se superó la meta</w:t>
      </w:r>
      <w:r w:rsidR="00580A67">
        <w:rPr>
          <w:rFonts w:ascii="Montserrat" w:hAnsi="Montserrat" w:cs="Times New Roman"/>
          <w:sz w:val="22"/>
          <w:szCs w:val="22"/>
        </w:rPr>
        <w:t>,</w:t>
      </w:r>
      <w:r w:rsidR="00C6340C" w:rsidRPr="00E21DD1">
        <w:rPr>
          <w:rFonts w:ascii="Montserrat" w:hAnsi="Montserrat" w:cs="Times New Roman"/>
          <w:sz w:val="22"/>
          <w:szCs w:val="22"/>
        </w:rPr>
        <w:t xml:space="preserve"> </w:t>
      </w:r>
      <w:r w:rsidR="007061B6" w:rsidRPr="00E21DD1">
        <w:rPr>
          <w:rFonts w:ascii="Montserrat" w:hAnsi="Montserrat" w:cs="Times New Roman"/>
          <w:sz w:val="22"/>
          <w:szCs w:val="22"/>
        </w:rPr>
        <w:t xml:space="preserve">dado que en el segundo semestre de 2022 se apoyaron 122 proyectos de 124 que se tenían programados. De estos, para el periodo de reporte actual, </w:t>
      </w:r>
      <w:r w:rsidR="005049BC" w:rsidRPr="00E21DD1">
        <w:rPr>
          <w:rFonts w:ascii="Montserrat" w:hAnsi="Montserrat" w:cs="Times New Roman"/>
          <w:sz w:val="22"/>
          <w:szCs w:val="22"/>
        </w:rPr>
        <w:t xml:space="preserve">se financiaron </w:t>
      </w:r>
      <w:r w:rsidR="007061B6" w:rsidRPr="00E21DD1">
        <w:rPr>
          <w:rFonts w:ascii="Montserrat" w:hAnsi="Montserrat" w:cs="Times New Roman"/>
          <w:sz w:val="22"/>
          <w:szCs w:val="22"/>
        </w:rPr>
        <w:t xml:space="preserve">18 proyectos más de los que se habían estimado, debido a que es la modalidad que más solicitudes de apoyo recibe.  </w:t>
      </w:r>
    </w:p>
    <w:p w14:paraId="65D0950D" w14:textId="77777777" w:rsidR="0079192B" w:rsidRPr="00E21DD1" w:rsidRDefault="0079192B" w:rsidP="002327D0">
      <w:pPr>
        <w:pStyle w:val="Prrafodelista"/>
        <w:jc w:val="both"/>
        <w:rPr>
          <w:rFonts w:ascii="Montserrat" w:hAnsi="Montserrat" w:cs="Times New Roman"/>
          <w:sz w:val="22"/>
          <w:szCs w:val="22"/>
        </w:rPr>
      </w:pPr>
    </w:p>
    <w:p w14:paraId="0DF2F74E" w14:textId="20683CFB" w:rsidR="00861D03" w:rsidRDefault="00C021DC" w:rsidP="005A267C">
      <w:pPr>
        <w:pStyle w:val="Prrafodelista"/>
        <w:jc w:val="both"/>
        <w:rPr>
          <w:rFonts w:ascii="Montserrat" w:hAnsi="Montserrat" w:cs="Times New Roman"/>
          <w:sz w:val="22"/>
          <w:szCs w:val="22"/>
        </w:rPr>
      </w:pPr>
      <w:r w:rsidRPr="00E21DD1">
        <w:rPr>
          <w:rFonts w:ascii="Montserrat" w:hAnsi="Montserrat" w:cs="Times New Roman"/>
          <w:sz w:val="22"/>
          <w:szCs w:val="22"/>
        </w:rPr>
        <w:t xml:space="preserve">En el Programa S191 “Sistema Nacional de Investigadores”, existe una gran rotación en los ayudantes de Investigador(a) Nacional nivel 3 o Emérito(a), </w:t>
      </w:r>
      <w:r w:rsidR="00861D03">
        <w:rPr>
          <w:rFonts w:ascii="Montserrat" w:hAnsi="Montserrat" w:cs="Times New Roman"/>
          <w:sz w:val="22"/>
          <w:szCs w:val="22"/>
        </w:rPr>
        <w:t>que</w:t>
      </w:r>
      <w:r w:rsidRPr="00E21DD1">
        <w:rPr>
          <w:rFonts w:ascii="Montserrat" w:hAnsi="Montserrat" w:cs="Times New Roman"/>
          <w:sz w:val="22"/>
          <w:szCs w:val="22"/>
        </w:rPr>
        <w:t xml:space="preserve"> obedece </w:t>
      </w:r>
      <w:r w:rsidR="00861D03">
        <w:rPr>
          <w:rFonts w:ascii="Montserrat" w:hAnsi="Montserrat" w:cs="Times New Roman"/>
          <w:sz w:val="22"/>
          <w:szCs w:val="22"/>
        </w:rPr>
        <w:t>principalmente a</w:t>
      </w:r>
      <w:r w:rsidR="00861D03" w:rsidRPr="00E21DD1">
        <w:rPr>
          <w:rFonts w:ascii="Montserrat" w:hAnsi="Montserrat" w:cs="Times New Roman"/>
          <w:sz w:val="22"/>
          <w:szCs w:val="22"/>
        </w:rPr>
        <w:t xml:space="preserve"> </w:t>
      </w:r>
      <w:r w:rsidRPr="00E21DD1">
        <w:rPr>
          <w:rFonts w:ascii="Montserrat" w:hAnsi="Montserrat" w:cs="Times New Roman"/>
          <w:sz w:val="22"/>
          <w:szCs w:val="22"/>
        </w:rPr>
        <w:t>cuestiones personales</w:t>
      </w:r>
      <w:r w:rsidR="00861D03">
        <w:rPr>
          <w:rFonts w:ascii="Montserrat" w:hAnsi="Montserrat" w:cs="Times New Roman"/>
          <w:sz w:val="22"/>
          <w:szCs w:val="22"/>
        </w:rPr>
        <w:t xml:space="preserve"> o </w:t>
      </w:r>
      <w:r w:rsidRPr="00E21DD1">
        <w:rPr>
          <w:rFonts w:ascii="Montserrat" w:hAnsi="Montserrat" w:cs="Times New Roman"/>
          <w:sz w:val="22"/>
          <w:szCs w:val="22"/>
        </w:rPr>
        <w:t xml:space="preserve">cambio en sus intereses académicos. </w:t>
      </w:r>
      <w:r w:rsidR="00861D03">
        <w:rPr>
          <w:rFonts w:ascii="Montserrat" w:hAnsi="Montserrat" w:cs="Times New Roman"/>
          <w:sz w:val="22"/>
          <w:szCs w:val="22"/>
        </w:rPr>
        <w:t>Los cambios</w:t>
      </w:r>
      <w:r w:rsidR="00CF2A1C">
        <w:rPr>
          <w:rFonts w:ascii="Montserrat" w:hAnsi="Montserrat" w:cs="Times New Roman"/>
          <w:sz w:val="22"/>
          <w:szCs w:val="22"/>
        </w:rPr>
        <w:t xml:space="preserve"> de investigador que realizan los ayudantes </w:t>
      </w:r>
      <w:r w:rsidR="00580A67">
        <w:rPr>
          <w:rFonts w:ascii="Montserrat" w:hAnsi="Montserrat" w:cs="Times New Roman"/>
          <w:sz w:val="22"/>
          <w:szCs w:val="22"/>
        </w:rPr>
        <w:t>son</w:t>
      </w:r>
      <w:r w:rsidR="00CF2A1C">
        <w:rPr>
          <w:rFonts w:ascii="Montserrat" w:hAnsi="Montserrat" w:cs="Times New Roman"/>
          <w:sz w:val="22"/>
          <w:szCs w:val="22"/>
        </w:rPr>
        <w:t xml:space="preserve"> notificado</w:t>
      </w:r>
      <w:r w:rsidR="00580A67">
        <w:rPr>
          <w:rFonts w:ascii="Montserrat" w:hAnsi="Montserrat" w:cs="Times New Roman"/>
          <w:sz w:val="22"/>
          <w:szCs w:val="22"/>
        </w:rPr>
        <w:t>s</w:t>
      </w:r>
      <w:r w:rsidR="00CF2A1C">
        <w:rPr>
          <w:rFonts w:ascii="Montserrat" w:hAnsi="Montserrat" w:cs="Times New Roman"/>
          <w:sz w:val="22"/>
          <w:szCs w:val="22"/>
        </w:rPr>
        <w:t xml:space="preserve"> únicamente para efectos de cumplir con el pago del apoyo económico</w:t>
      </w:r>
      <w:r w:rsidR="00347C1C">
        <w:rPr>
          <w:rFonts w:ascii="Montserrat" w:hAnsi="Montserrat" w:cs="Times New Roman"/>
          <w:sz w:val="22"/>
          <w:szCs w:val="22"/>
        </w:rPr>
        <w:t xml:space="preserve"> sin que medie una autorización por parte de los responsables del programa. La rotación de ayudantes es una situació</w:t>
      </w:r>
      <w:r w:rsidR="00802999">
        <w:rPr>
          <w:rFonts w:ascii="Montserrat" w:hAnsi="Montserrat" w:cs="Times New Roman"/>
          <w:sz w:val="22"/>
          <w:szCs w:val="22"/>
        </w:rPr>
        <w:t xml:space="preserve">n que está fuera del alcance del Conacyt. Es por ello que </w:t>
      </w:r>
      <w:r w:rsidR="00802999" w:rsidRPr="00E21DD1">
        <w:rPr>
          <w:rFonts w:ascii="Montserrat" w:hAnsi="Montserrat" w:cs="Times New Roman"/>
          <w:sz w:val="22"/>
          <w:szCs w:val="22"/>
        </w:rPr>
        <w:t>el indicador “Porcentaje de investigadores de Nivel III y Eméritos que cuentan con ayudantes de investigación” no cumpli</w:t>
      </w:r>
      <w:r w:rsidR="00802999">
        <w:rPr>
          <w:rFonts w:ascii="Montserrat" w:hAnsi="Montserrat" w:cs="Times New Roman"/>
          <w:sz w:val="22"/>
          <w:szCs w:val="22"/>
        </w:rPr>
        <w:t>ó con su</w:t>
      </w:r>
      <w:r w:rsidR="00802999" w:rsidRPr="00E21DD1">
        <w:rPr>
          <w:rFonts w:ascii="Montserrat" w:hAnsi="Montserrat" w:cs="Times New Roman"/>
          <w:sz w:val="22"/>
          <w:szCs w:val="22"/>
        </w:rPr>
        <w:t xml:space="preserve"> meta, ya que no hubo un incremento considerable en el ingreso de ayudantes de investigador.</w:t>
      </w:r>
    </w:p>
    <w:p w14:paraId="3D062E2C" w14:textId="77777777" w:rsidR="00861D03" w:rsidRDefault="00861D03" w:rsidP="005A267C">
      <w:pPr>
        <w:pStyle w:val="Prrafodelista"/>
        <w:jc w:val="both"/>
        <w:rPr>
          <w:rFonts w:ascii="Montserrat" w:hAnsi="Montserrat" w:cs="Times New Roman"/>
          <w:sz w:val="22"/>
          <w:szCs w:val="22"/>
        </w:rPr>
      </w:pPr>
    </w:p>
    <w:p w14:paraId="312628B9" w14:textId="6451D9E4" w:rsidR="001E2422" w:rsidRPr="00E21DD1" w:rsidRDefault="00641252" w:rsidP="001E2422">
      <w:pPr>
        <w:pStyle w:val="Prrafodelista"/>
        <w:jc w:val="both"/>
        <w:rPr>
          <w:rFonts w:ascii="Montserrat" w:hAnsi="Montserrat" w:cs="Times New Roman"/>
          <w:sz w:val="22"/>
          <w:szCs w:val="22"/>
        </w:rPr>
      </w:pPr>
      <w:r w:rsidRPr="00E21DD1">
        <w:rPr>
          <w:rFonts w:ascii="Montserrat" w:hAnsi="Montserrat" w:cs="Times New Roman"/>
          <w:sz w:val="22"/>
          <w:szCs w:val="22"/>
        </w:rPr>
        <w:t xml:space="preserve">En lo que respecta al indicador “Porcentaje de miembros vigentes en el Sistema Nacional de Investigadores que logran renovar su permanencia sobre el total que lo solicita” la meta quedó rebasada derivado de la modificación </w:t>
      </w:r>
      <w:r w:rsidR="001E2422" w:rsidRPr="00E21DD1">
        <w:rPr>
          <w:rFonts w:ascii="Montserrat" w:hAnsi="Montserrat" w:cs="Times New Roman"/>
          <w:sz w:val="22"/>
          <w:szCs w:val="22"/>
        </w:rPr>
        <w:t>a las disposiciones del Reglamento del Sistema Nacional de Investigadores</w:t>
      </w:r>
      <w:r w:rsidR="000167E4">
        <w:rPr>
          <w:rFonts w:ascii="Montserrat" w:hAnsi="Montserrat" w:cs="Times New Roman"/>
          <w:sz w:val="22"/>
          <w:szCs w:val="22"/>
        </w:rPr>
        <w:t>. E</w:t>
      </w:r>
      <w:r w:rsidR="001E2422" w:rsidRPr="00E21DD1">
        <w:rPr>
          <w:rFonts w:ascii="Montserrat" w:hAnsi="Montserrat" w:cs="Times New Roman"/>
          <w:sz w:val="22"/>
          <w:szCs w:val="22"/>
        </w:rPr>
        <w:t>specíficamente</w:t>
      </w:r>
      <w:r w:rsidR="002D198D">
        <w:rPr>
          <w:rFonts w:ascii="Montserrat" w:hAnsi="Montserrat" w:cs="Times New Roman"/>
          <w:sz w:val="22"/>
          <w:szCs w:val="22"/>
        </w:rPr>
        <w:t>,</w:t>
      </w:r>
      <w:r w:rsidR="001E2422" w:rsidRPr="00E21DD1">
        <w:rPr>
          <w:rFonts w:ascii="Montserrat" w:hAnsi="Montserrat" w:cs="Times New Roman"/>
          <w:sz w:val="22"/>
          <w:szCs w:val="22"/>
        </w:rPr>
        <w:t xml:space="preserve"> en el artículo 30 </w:t>
      </w:r>
      <w:r w:rsidR="00E02068">
        <w:rPr>
          <w:rFonts w:ascii="Montserrat" w:hAnsi="Montserrat" w:cs="Times New Roman"/>
          <w:sz w:val="22"/>
          <w:szCs w:val="22"/>
        </w:rPr>
        <w:t>se</w:t>
      </w:r>
      <w:r w:rsidR="00E02068" w:rsidRPr="00E21DD1">
        <w:rPr>
          <w:rFonts w:ascii="Montserrat" w:hAnsi="Montserrat" w:cs="Times New Roman"/>
          <w:sz w:val="22"/>
          <w:szCs w:val="22"/>
        </w:rPr>
        <w:t xml:space="preserve"> </w:t>
      </w:r>
      <w:r w:rsidR="001E2422" w:rsidRPr="00E21DD1">
        <w:rPr>
          <w:rFonts w:ascii="Montserrat" w:hAnsi="Montserrat" w:cs="Times New Roman"/>
          <w:sz w:val="22"/>
          <w:szCs w:val="22"/>
        </w:rPr>
        <w:t>señala</w:t>
      </w:r>
      <w:r w:rsidR="00E02068">
        <w:rPr>
          <w:rFonts w:ascii="Montserrat" w:hAnsi="Montserrat" w:cs="Times New Roman"/>
          <w:sz w:val="22"/>
          <w:szCs w:val="22"/>
        </w:rPr>
        <w:t>n</w:t>
      </w:r>
      <w:r w:rsidR="001E2422" w:rsidRPr="00E21DD1">
        <w:rPr>
          <w:rFonts w:ascii="Montserrat" w:hAnsi="Montserrat" w:cs="Times New Roman"/>
          <w:sz w:val="22"/>
          <w:szCs w:val="22"/>
        </w:rPr>
        <w:t xml:space="preserve"> las situaciones por las que de manera extraordinaria la vigencia de las distinciones puede modificarse. Esto </w:t>
      </w:r>
      <w:r w:rsidR="00E02068">
        <w:rPr>
          <w:rFonts w:ascii="Montserrat" w:hAnsi="Montserrat" w:cs="Times New Roman"/>
          <w:sz w:val="22"/>
          <w:szCs w:val="22"/>
        </w:rPr>
        <w:t xml:space="preserve">significa que </w:t>
      </w:r>
      <w:r w:rsidR="001E2422" w:rsidRPr="00E21DD1">
        <w:rPr>
          <w:rFonts w:ascii="Montserrat" w:hAnsi="Montserrat" w:cs="Times New Roman"/>
          <w:sz w:val="22"/>
          <w:szCs w:val="22"/>
        </w:rPr>
        <w:t xml:space="preserve">la participación en la </w:t>
      </w:r>
      <w:r w:rsidR="00740841">
        <w:rPr>
          <w:rFonts w:ascii="Montserrat" w:hAnsi="Montserrat" w:cs="Times New Roman"/>
          <w:sz w:val="22"/>
          <w:szCs w:val="22"/>
        </w:rPr>
        <w:t>c</w:t>
      </w:r>
      <w:r w:rsidR="001E2422" w:rsidRPr="00E21DD1">
        <w:rPr>
          <w:rFonts w:ascii="Montserrat" w:hAnsi="Montserrat" w:cs="Times New Roman"/>
          <w:sz w:val="22"/>
          <w:szCs w:val="22"/>
        </w:rPr>
        <w:t>onvocatoria de permanencia</w:t>
      </w:r>
      <w:r w:rsidR="00740841">
        <w:rPr>
          <w:rFonts w:ascii="Montserrat" w:hAnsi="Montserrat" w:cs="Times New Roman"/>
          <w:sz w:val="22"/>
          <w:szCs w:val="22"/>
        </w:rPr>
        <w:t xml:space="preserve"> ya no es </w:t>
      </w:r>
      <w:r w:rsidR="001E2422" w:rsidRPr="00E21DD1">
        <w:rPr>
          <w:rFonts w:ascii="Montserrat" w:hAnsi="Montserrat" w:cs="Times New Roman"/>
          <w:sz w:val="22"/>
          <w:szCs w:val="22"/>
        </w:rPr>
        <w:t>la única manera en las que los investigadores pueden extender su vigencia dentro del SN</w:t>
      </w:r>
      <w:r w:rsidR="00740841">
        <w:rPr>
          <w:rFonts w:ascii="Montserrat" w:hAnsi="Montserrat" w:cs="Times New Roman"/>
          <w:sz w:val="22"/>
          <w:szCs w:val="22"/>
        </w:rPr>
        <w:t>I</w:t>
      </w:r>
      <w:r w:rsidR="001E2422" w:rsidRPr="00E21DD1">
        <w:rPr>
          <w:rFonts w:ascii="Montserrat" w:hAnsi="Montserrat" w:cs="Times New Roman"/>
          <w:sz w:val="22"/>
          <w:szCs w:val="22"/>
        </w:rPr>
        <w:t>,</w:t>
      </w:r>
      <w:r w:rsidR="00740841">
        <w:rPr>
          <w:rFonts w:ascii="Montserrat" w:hAnsi="Montserrat" w:cs="Times New Roman"/>
          <w:sz w:val="22"/>
          <w:szCs w:val="22"/>
        </w:rPr>
        <w:t xml:space="preserve"> por lo que</w:t>
      </w:r>
      <w:r w:rsidR="001E2422" w:rsidRPr="00E21DD1">
        <w:rPr>
          <w:rFonts w:ascii="Montserrat" w:hAnsi="Montserrat" w:cs="Times New Roman"/>
          <w:sz w:val="22"/>
          <w:szCs w:val="22"/>
        </w:rPr>
        <w:t xml:space="preserve"> se tienen más evaluaciones positivas.</w:t>
      </w:r>
    </w:p>
    <w:p w14:paraId="1FF519C6" w14:textId="77777777" w:rsidR="006E3D93" w:rsidRPr="001E2422" w:rsidRDefault="006E3D93" w:rsidP="001E2422">
      <w:pPr>
        <w:jc w:val="both"/>
        <w:rPr>
          <w:rFonts w:ascii="Montserrat" w:hAnsi="Montserrat" w:cs="Times New Roman"/>
          <w:sz w:val="22"/>
          <w:szCs w:val="22"/>
        </w:rPr>
      </w:pPr>
    </w:p>
    <w:p w14:paraId="18EA8F3C" w14:textId="77777777" w:rsidR="00A531C8" w:rsidRPr="00E21DD1" w:rsidRDefault="00740841" w:rsidP="006E3D93">
      <w:pPr>
        <w:pStyle w:val="Prrafodelista"/>
        <w:jc w:val="both"/>
        <w:rPr>
          <w:rFonts w:ascii="Montserrat" w:hAnsi="Montserrat" w:cs="Times New Roman"/>
          <w:sz w:val="22"/>
          <w:szCs w:val="22"/>
        </w:rPr>
      </w:pPr>
      <w:r>
        <w:rPr>
          <w:rFonts w:ascii="Montserrat" w:hAnsi="Montserrat" w:cs="Times New Roman"/>
          <w:sz w:val="22"/>
          <w:szCs w:val="22"/>
        </w:rPr>
        <w:t>Respecto de</w:t>
      </w:r>
      <w:r w:rsidR="0090650A" w:rsidRPr="00E21DD1">
        <w:rPr>
          <w:rFonts w:ascii="Montserrat" w:hAnsi="Montserrat" w:cs="Times New Roman"/>
          <w:sz w:val="22"/>
          <w:szCs w:val="22"/>
        </w:rPr>
        <w:t>l indicador “Porcentaje de dictámenes rectificados durante la reconsideración”, la meta se superó motivado a que no se recibieron las solicitudes de reconsideración que se esperaban.</w:t>
      </w:r>
    </w:p>
    <w:p w14:paraId="79859D27" w14:textId="77777777" w:rsidR="00562A0A" w:rsidRPr="00E21DD1" w:rsidRDefault="00562A0A" w:rsidP="00F0127D">
      <w:pPr>
        <w:pStyle w:val="Prrafodelista"/>
        <w:jc w:val="both"/>
        <w:rPr>
          <w:rFonts w:ascii="Montserrat" w:hAnsi="Montserrat" w:cs="Times New Roman"/>
          <w:sz w:val="22"/>
          <w:szCs w:val="22"/>
        </w:rPr>
      </w:pPr>
    </w:p>
    <w:p w14:paraId="15EACF64" w14:textId="2383969D" w:rsidR="00562A0A" w:rsidRPr="00E21DD1" w:rsidRDefault="00562A0A" w:rsidP="00F0127D">
      <w:pPr>
        <w:pStyle w:val="Prrafodelista"/>
        <w:jc w:val="both"/>
        <w:rPr>
          <w:rFonts w:ascii="Montserrat" w:hAnsi="Montserrat" w:cs="Times New Roman"/>
          <w:sz w:val="22"/>
          <w:szCs w:val="22"/>
        </w:rPr>
      </w:pPr>
      <w:r w:rsidRPr="00E21DD1">
        <w:rPr>
          <w:rFonts w:ascii="Montserrat" w:hAnsi="Montserrat" w:cs="Times New Roman"/>
          <w:sz w:val="22"/>
          <w:szCs w:val="22"/>
        </w:rPr>
        <w:t>De igual modo, el indicador “Tasa de variación de los artículos científicos publicados en revistas indizadas a nivel mundial” no cumplió con su meta. En los últimos años se había registrado un incremento en el número</w:t>
      </w:r>
      <w:r w:rsidR="00057F89">
        <w:rPr>
          <w:rFonts w:ascii="Montserrat" w:hAnsi="Montserrat" w:cs="Times New Roman"/>
          <w:sz w:val="22"/>
          <w:szCs w:val="22"/>
        </w:rPr>
        <w:t xml:space="preserve"> de</w:t>
      </w:r>
      <w:r w:rsidRPr="00E21DD1">
        <w:rPr>
          <w:rFonts w:ascii="Montserrat" w:hAnsi="Montserrat" w:cs="Times New Roman"/>
          <w:sz w:val="22"/>
          <w:szCs w:val="22"/>
        </w:rPr>
        <w:t xml:space="preserve"> artículos publicados contenidos en la base de </w:t>
      </w:r>
      <w:proofErr w:type="spellStart"/>
      <w:r w:rsidRPr="00E21DD1">
        <w:rPr>
          <w:rFonts w:ascii="Montserrat" w:hAnsi="Montserrat" w:cs="Times New Roman"/>
          <w:sz w:val="22"/>
          <w:szCs w:val="22"/>
        </w:rPr>
        <w:t>InCities</w:t>
      </w:r>
      <w:proofErr w:type="spellEnd"/>
      <w:r w:rsidRPr="00E21DD1">
        <w:rPr>
          <w:rFonts w:ascii="Montserrat" w:hAnsi="Montserrat" w:cs="Times New Roman"/>
          <w:sz w:val="22"/>
          <w:szCs w:val="22"/>
        </w:rPr>
        <w:t>, por lo que se estimaba que este crecimiento se mantuviera; sin embargo, al momento de consultar la plataforma, el número de artículos fue menor a lo registrado en 2021</w:t>
      </w:r>
      <w:r w:rsidR="003D58EE">
        <w:rPr>
          <w:rFonts w:ascii="Montserrat" w:hAnsi="Montserrat" w:cs="Times New Roman"/>
          <w:sz w:val="22"/>
          <w:szCs w:val="22"/>
        </w:rPr>
        <w:t>,</w:t>
      </w:r>
      <w:r w:rsidRPr="00E21DD1">
        <w:rPr>
          <w:rFonts w:ascii="Montserrat" w:hAnsi="Montserrat" w:cs="Times New Roman"/>
          <w:sz w:val="22"/>
          <w:szCs w:val="22"/>
        </w:rPr>
        <w:t xml:space="preserve"> razón por la que el indicador se encuentra por debajo de lo estimado.</w:t>
      </w:r>
      <w:r w:rsidR="00E75E99">
        <w:rPr>
          <w:rFonts w:ascii="Montserrat" w:hAnsi="Montserrat" w:cs="Times New Roman"/>
          <w:sz w:val="22"/>
          <w:szCs w:val="22"/>
        </w:rPr>
        <w:t xml:space="preserve"> </w:t>
      </w:r>
    </w:p>
    <w:p w14:paraId="6C22EA4B" w14:textId="77777777" w:rsidR="00356CCF" w:rsidRPr="00E21DD1" w:rsidRDefault="00356CCF" w:rsidP="00F0127D">
      <w:pPr>
        <w:pStyle w:val="Prrafodelista"/>
        <w:jc w:val="both"/>
        <w:rPr>
          <w:rFonts w:ascii="Montserrat" w:hAnsi="Montserrat" w:cs="Times New Roman"/>
          <w:sz w:val="22"/>
          <w:szCs w:val="22"/>
        </w:rPr>
      </w:pPr>
    </w:p>
    <w:p w14:paraId="12833D94" w14:textId="77777777" w:rsidR="00356CCF" w:rsidRPr="00E21DD1" w:rsidRDefault="00356CCF" w:rsidP="00F0127D">
      <w:pPr>
        <w:pStyle w:val="Prrafodelista"/>
        <w:jc w:val="both"/>
        <w:rPr>
          <w:rFonts w:ascii="Montserrat" w:hAnsi="Montserrat" w:cs="Times New Roman"/>
          <w:sz w:val="22"/>
          <w:szCs w:val="22"/>
        </w:rPr>
      </w:pPr>
      <w:r w:rsidRPr="00E21DD1">
        <w:rPr>
          <w:rFonts w:ascii="Montserrat" w:hAnsi="Montserrat" w:cs="Times New Roman"/>
          <w:sz w:val="22"/>
          <w:szCs w:val="22"/>
        </w:rPr>
        <w:lastRenderedPageBreak/>
        <w:t xml:space="preserve">El Programa K010 “Proyectos de infraestructura social de ciencia y tecnología”, reportó </w:t>
      </w:r>
      <w:r w:rsidR="00AF2D5B">
        <w:rPr>
          <w:rFonts w:ascii="Montserrat" w:hAnsi="Montserrat" w:cs="Times New Roman"/>
          <w:sz w:val="22"/>
          <w:szCs w:val="22"/>
        </w:rPr>
        <w:t xml:space="preserve">en cero </w:t>
      </w:r>
      <w:r w:rsidRPr="00E21DD1">
        <w:rPr>
          <w:rFonts w:ascii="Montserrat" w:hAnsi="Montserrat" w:cs="Times New Roman"/>
          <w:sz w:val="22"/>
          <w:szCs w:val="22"/>
        </w:rPr>
        <w:t>los indicadores “Porcentaje de Centros Públicos de Investigación del Consejo Nacional de Ciencia y Tecnología construidos o equipados” y “</w:t>
      </w:r>
      <w:r w:rsidR="00996FEB" w:rsidRPr="00E21DD1">
        <w:rPr>
          <w:rFonts w:ascii="Montserrat" w:hAnsi="Montserrat" w:cs="Times New Roman"/>
          <w:sz w:val="22"/>
          <w:szCs w:val="22"/>
        </w:rPr>
        <w:t>Porcentaje de proyectos de infraestructura de los Centros Públicos de Investigación del Consejo Nacional de Ciencia y Tecnología (</w:t>
      </w:r>
      <w:r w:rsidR="007729D2" w:rsidRPr="00E21DD1">
        <w:rPr>
          <w:rFonts w:ascii="Montserrat" w:hAnsi="Montserrat" w:cs="Times New Roman"/>
          <w:sz w:val="22"/>
          <w:szCs w:val="22"/>
        </w:rPr>
        <w:t>Conacyt</w:t>
      </w:r>
      <w:r w:rsidR="00996FEB" w:rsidRPr="00E21DD1">
        <w:rPr>
          <w:rFonts w:ascii="Montserrat" w:hAnsi="Montserrat" w:cs="Times New Roman"/>
          <w:sz w:val="22"/>
          <w:szCs w:val="22"/>
        </w:rPr>
        <w:t xml:space="preserve">) construidos y/o equipados” a razón de que en 2022 no se brindaron recursos presupuestales para este programa. </w:t>
      </w:r>
    </w:p>
    <w:p w14:paraId="4FDE13D5" w14:textId="77777777" w:rsidR="00F0127D" w:rsidRPr="00E21DD1" w:rsidRDefault="00F0127D" w:rsidP="00F0127D">
      <w:pPr>
        <w:pStyle w:val="Prrafodelista"/>
        <w:jc w:val="both"/>
        <w:rPr>
          <w:rFonts w:ascii="Montserrat" w:hAnsi="Montserrat" w:cs="Times New Roman"/>
          <w:sz w:val="22"/>
          <w:szCs w:val="22"/>
        </w:rPr>
      </w:pPr>
    </w:p>
    <w:p w14:paraId="15ABADA5" w14:textId="77777777" w:rsidR="006E3D93" w:rsidRDefault="00F0127D" w:rsidP="006E3D93">
      <w:pPr>
        <w:pStyle w:val="Prrafodelista"/>
        <w:jc w:val="both"/>
        <w:rPr>
          <w:rFonts w:ascii="Montserrat" w:hAnsi="Montserrat" w:cs="Times New Roman"/>
          <w:sz w:val="22"/>
          <w:szCs w:val="22"/>
        </w:rPr>
      </w:pPr>
      <w:r w:rsidRPr="00E21DD1">
        <w:rPr>
          <w:rFonts w:ascii="Montserrat" w:hAnsi="Montserrat" w:cs="Times New Roman"/>
          <w:sz w:val="22"/>
          <w:szCs w:val="22"/>
        </w:rPr>
        <w:t>Finalmente, e</w:t>
      </w:r>
      <w:r w:rsidR="006E3D93" w:rsidRPr="00E21DD1">
        <w:rPr>
          <w:rFonts w:ascii="Montserrat" w:hAnsi="Montserrat" w:cs="Times New Roman"/>
          <w:sz w:val="22"/>
          <w:szCs w:val="22"/>
        </w:rPr>
        <w:t xml:space="preserve">n el Programa P001 “Diseño y evaluación de políticas en ciencia, tecnología e innovación”, </w:t>
      </w:r>
      <w:r w:rsidR="004967B8" w:rsidRPr="00E21DD1">
        <w:rPr>
          <w:rFonts w:ascii="Montserrat" w:hAnsi="Montserrat" w:cs="Times New Roman"/>
          <w:sz w:val="22"/>
          <w:szCs w:val="22"/>
        </w:rPr>
        <w:t xml:space="preserve">el indicador “Consultas promedio por días del Informe de Actividades y del Informe de Autoevaluación del Consejo Nacional de Ciencia y Tecnología”, la meta alcanzada se situó por debajo de lo estimado, </w:t>
      </w:r>
      <w:r w:rsidR="00356CCF" w:rsidRPr="00E21DD1">
        <w:rPr>
          <w:rFonts w:ascii="Montserrat" w:hAnsi="Montserrat" w:cs="Times New Roman"/>
          <w:sz w:val="22"/>
          <w:szCs w:val="22"/>
        </w:rPr>
        <w:t>dado que,</w:t>
      </w:r>
      <w:r w:rsidR="004967B8" w:rsidRPr="00E21DD1">
        <w:rPr>
          <w:rFonts w:ascii="Montserrat" w:hAnsi="Montserrat" w:cs="Times New Roman"/>
          <w:sz w:val="22"/>
          <w:szCs w:val="22"/>
        </w:rPr>
        <w:t xml:space="preserve"> durante el periodo vacacional de fin de año, las consultas al portal de</w:t>
      </w:r>
      <w:r w:rsidR="00F902F5" w:rsidRPr="00E21DD1">
        <w:rPr>
          <w:rFonts w:ascii="Montserrat" w:hAnsi="Montserrat" w:cs="Times New Roman"/>
          <w:sz w:val="22"/>
          <w:szCs w:val="22"/>
        </w:rPr>
        <w:t>l</w:t>
      </w:r>
      <w:r w:rsidR="004967B8" w:rsidRPr="00E21DD1">
        <w:rPr>
          <w:rFonts w:ascii="Montserrat" w:hAnsi="Montserrat" w:cs="Times New Roman"/>
          <w:sz w:val="22"/>
          <w:szCs w:val="22"/>
        </w:rPr>
        <w:t xml:space="preserve"> </w:t>
      </w:r>
      <w:r w:rsidR="007729D2" w:rsidRPr="00E21DD1">
        <w:rPr>
          <w:rFonts w:ascii="Montserrat" w:hAnsi="Montserrat" w:cs="Times New Roman"/>
          <w:sz w:val="22"/>
          <w:szCs w:val="22"/>
        </w:rPr>
        <w:t>Conacyt</w:t>
      </w:r>
      <w:r w:rsidR="004967B8" w:rsidRPr="00E21DD1">
        <w:rPr>
          <w:rFonts w:ascii="Montserrat" w:hAnsi="Montserrat" w:cs="Times New Roman"/>
          <w:sz w:val="22"/>
          <w:szCs w:val="22"/>
        </w:rPr>
        <w:t xml:space="preserve"> </w:t>
      </w:r>
      <w:r w:rsidR="00AF2D5B" w:rsidRPr="00E21DD1">
        <w:rPr>
          <w:rFonts w:ascii="Montserrat" w:hAnsi="Montserrat" w:cs="Times New Roman"/>
          <w:sz w:val="22"/>
          <w:szCs w:val="22"/>
        </w:rPr>
        <w:t>disminuy</w:t>
      </w:r>
      <w:r w:rsidR="00AF2D5B">
        <w:rPr>
          <w:rFonts w:ascii="Montserrat" w:hAnsi="Montserrat" w:cs="Times New Roman"/>
          <w:sz w:val="22"/>
          <w:szCs w:val="22"/>
        </w:rPr>
        <w:t>eron</w:t>
      </w:r>
      <w:r w:rsidR="00AF2D5B" w:rsidRPr="00E21DD1">
        <w:rPr>
          <w:rFonts w:ascii="Montserrat" w:hAnsi="Montserrat" w:cs="Times New Roman"/>
          <w:sz w:val="22"/>
          <w:szCs w:val="22"/>
        </w:rPr>
        <w:t xml:space="preserve"> </w:t>
      </w:r>
      <w:r w:rsidR="004967B8" w:rsidRPr="00E21DD1">
        <w:rPr>
          <w:rFonts w:ascii="Montserrat" w:hAnsi="Montserrat" w:cs="Times New Roman"/>
          <w:sz w:val="22"/>
          <w:szCs w:val="22"/>
        </w:rPr>
        <w:t>de forma significativa.</w:t>
      </w:r>
      <w:r w:rsidR="004967B8">
        <w:rPr>
          <w:rFonts w:ascii="Montserrat" w:hAnsi="Montserrat" w:cs="Times New Roman"/>
          <w:sz w:val="22"/>
          <w:szCs w:val="22"/>
        </w:rPr>
        <w:t xml:space="preserve"> </w:t>
      </w:r>
    </w:p>
    <w:p w14:paraId="76314F8E" w14:textId="77777777" w:rsidR="006E3D93" w:rsidRPr="006E3D93" w:rsidRDefault="006E3D93" w:rsidP="006E3D93">
      <w:pPr>
        <w:pStyle w:val="Prrafodelista"/>
        <w:jc w:val="both"/>
        <w:rPr>
          <w:rFonts w:ascii="Montserrat" w:hAnsi="Montserrat" w:cs="Times New Roman"/>
          <w:sz w:val="22"/>
          <w:szCs w:val="22"/>
        </w:rPr>
      </w:pPr>
    </w:p>
    <w:sectPr w:rsidR="006E3D93" w:rsidRPr="006E3D93" w:rsidSect="00AB5BC2">
      <w:headerReference w:type="default" r:id="rId8"/>
      <w:pgSz w:w="12240" w:h="15840"/>
      <w:pgMar w:top="2552"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579EB" w14:textId="77777777" w:rsidR="001C4ECD" w:rsidRDefault="001C4ECD" w:rsidP="005C6F62">
      <w:r>
        <w:separator/>
      </w:r>
    </w:p>
  </w:endnote>
  <w:endnote w:type="continuationSeparator" w:id="0">
    <w:p w14:paraId="4A8DD716" w14:textId="77777777" w:rsidR="001C4ECD" w:rsidRDefault="001C4ECD"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ontserrat">
    <w:panose1 w:val="00000500000000000000"/>
    <w:charset w:val="00"/>
    <w:family w:val="auto"/>
    <w:pitch w:val="variable"/>
    <w:sig w:usb0="A00002FF" w:usb1="4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Monserra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CD8A" w14:textId="77777777" w:rsidR="001C4ECD" w:rsidRDefault="001C4ECD" w:rsidP="005C6F62">
      <w:r>
        <w:separator/>
      </w:r>
    </w:p>
  </w:footnote>
  <w:footnote w:type="continuationSeparator" w:id="0">
    <w:p w14:paraId="4FEF6CCA" w14:textId="77777777" w:rsidR="001C4ECD" w:rsidRDefault="001C4ECD"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AA68A" w14:textId="77777777" w:rsidR="005C6F62" w:rsidRDefault="003B277E">
    <w:pPr>
      <w:pStyle w:val="Encabezado"/>
    </w:pPr>
    <w:r>
      <w:rPr>
        <w:noProof/>
        <w:lang w:val="es-ES"/>
      </w:rPr>
      <w:drawing>
        <wp:anchor distT="0" distB="0" distL="114300" distR="114300" simplePos="0" relativeHeight="251658240" behindDoc="1" locked="0" layoutInCell="1" allowOverlap="1" wp14:anchorId="6BF08FC4" wp14:editId="06C83B55">
          <wp:simplePos x="0" y="0"/>
          <wp:positionH relativeFrom="margin">
            <wp:posOffset>-706022</wp:posOffset>
          </wp:positionH>
          <wp:positionV relativeFrom="paragraph">
            <wp:posOffset>-436147</wp:posOffset>
          </wp:positionV>
          <wp:extent cx="7737383" cy="10078959"/>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737383" cy="1007895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00EE0"/>
    <w:rsid w:val="00001B80"/>
    <w:rsid w:val="000167E4"/>
    <w:rsid w:val="00024816"/>
    <w:rsid w:val="000311EF"/>
    <w:rsid w:val="000356A5"/>
    <w:rsid w:val="00057F89"/>
    <w:rsid w:val="00075990"/>
    <w:rsid w:val="00085A91"/>
    <w:rsid w:val="00097F6E"/>
    <w:rsid w:val="000A1E46"/>
    <w:rsid w:val="000E3D68"/>
    <w:rsid w:val="000F1175"/>
    <w:rsid w:val="001149BA"/>
    <w:rsid w:val="00147305"/>
    <w:rsid w:val="00177502"/>
    <w:rsid w:val="0018280B"/>
    <w:rsid w:val="00185D32"/>
    <w:rsid w:val="00187404"/>
    <w:rsid w:val="001A5401"/>
    <w:rsid w:val="001C4ECD"/>
    <w:rsid w:val="001C52C5"/>
    <w:rsid w:val="001D4FD4"/>
    <w:rsid w:val="001E0A72"/>
    <w:rsid w:val="001E2422"/>
    <w:rsid w:val="001F6619"/>
    <w:rsid w:val="00222983"/>
    <w:rsid w:val="002327D0"/>
    <w:rsid w:val="00233F23"/>
    <w:rsid w:val="00246A8D"/>
    <w:rsid w:val="00272049"/>
    <w:rsid w:val="002B081C"/>
    <w:rsid w:val="002B26F6"/>
    <w:rsid w:val="002C3256"/>
    <w:rsid w:val="002D198D"/>
    <w:rsid w:val="002D2C06"/>
    <w:rsid w:val="002D7B5A"/>
    <w:rsid w:val="003050AA"/>
    <w:rsid w:val="003067D8"/>
    <w:rsid w:val="00307E8D"/>
    <w:rsid w:val="0031699D"/>
    <w:rsid w:val="0034376D"/>
    <w:rsid w:val="00347C1C"/>
    <w:rsid w:val="003503AD"/>
    <w:rsid w:val="00356CCF"/>
    <w:rsid w:val="003654B7"/>
    <w:rsid w:val="003B277E"/>
    <w:rsid w:val="003C20A8"/>
    <w:rsid w:val="003C4E24"/>
    <w:rsid w:val="003C5516"/>
    <w:rsid w:val="003D58EE"/>
    <w:rsid w:val="003E2B98"/>
    <w:rsid w:val="003E6F00"/>
    <w:rsid w:val="003F4C59"/>
    <w:rsid w:val="00424887"/>
    <w:rsid w:val="00440C94"/>
    <w:rsid w:val="00443C77"/>
    <w:rsid w:val="00444B09"/>
    <w:rsid w:val="00461E6B"/>
    <w:rsid w:val="004636CF"/>
    <w:rsid w:val="00463911"/>
    <w:rsid w:val="00483CD6"/>
    <w:rsid w:val="004967B8"/>
    <w:rsid w:val="004C64FF"/>
    <w:rsid w:val="004D34E4"/>
    <w:rsid w:val="004E0CD2"/>
    <w:rsid w:val="004F0C42"/>
    <w:rsid w:val="005049BC"/>
    <w:rsid w:val="00504D28"/>
    <w:rsid w:val="00512AC5"/>
    <w:rsid w:val="00542500"/>
    <w:rsid w:val="00561005"/>
    <w:rsid w:val="00561B8B"/>
    <w:rsid w:val="00562A0A"/>
    <w:rsid w:val="00563455"/>
    <w:rsid w:val="00580A67"/>
    <w:rsid w:val="00584DBD"/>
    <w:rsid w:val="005A267C"/>
    <w:rsid w:val="005A3D42"/>
    <w:rsid w:val="005C0C2A"/>
    <w:rsid w:val="005C47D3"/>
    <w:rsid w:val="005C6F62"/>
    <w:rsid w:val="0061122F"/>
    <w:rsid w:val="00621622"/>
    <w:rsid w:val="00626DC0"/>
    <w:rsid w:val="006360AE"/>
    <w:rsid w:val="00641252"/>
    <w:rsid w:val="0064634D"/>
    <w:rsid w:val="006646F0"/>
    <w:rsid w:val="00673B76"/>
    <w:rsid w:val="0069291B"/>
    <w:rsid w:val="006D0505"/>
    <w:rsid w:val="006D68C7"/>
    <w:rsid w:val="006E3D93"/>
    <w:rsid w:val="006E3E2D"/>
    <w:rsid w:val="006F1CD3"/>
    <w:rsid w:val="006F39E5"/>
    <w:rsid w:val="006F7454"/>
    <w:rsid w:val="007061B6"/>
    <w:rsid w:val="00724102"/>
    <w:rsid w:val="00740841"/>
    <w:rsid w:val="007729D2"/>
    <w:rsid w:val="00784358"/>
    <w:rsid w:val="007902DE"/>
    <w:rsid w:val="0079192B"/>
    <w:rsid w:val="007C795B"/>
    <w:rsid w:val="00802999"/>
    <w:rsid w:val="00804F1B"/>
    <w:rsid w:val="00805376"/>
    <w:rsid w:val="008110E7"/>
    <w:rsid w:val="0084377C"/>
    <w:rsid w:val="00851C6E"/>
    <w:rsid w:val="00861D03"/>
    <w:rsid w:val="0088186A"/>
    <w:rsid w:val="008A1D3D"/>
    <w:rsid w:val="008C1017"/>
    <w:rsid w:val="008C744F"/>
    <w:rsid w:val="0090066B"/>
    <w:rsid w:val="0090650A"/>
    <w:rsid w:val="0092612A"/>
    <w:rsid w:val="0098405E"/>
    <w:rsid w:val="009947F3"/>
    <w:rsid w:val="00996FEB"/>
    <w:rsid w:val="009B1EF6"/>
    <w:rsid w:val="009C2D8A"/>
    <w:rsid w:val="009C3F7A"/>
    <w:rsid w:val="00A00D9E"/>
    <w:rsid w:val="00A325A4"/>
    <w:rsid w:val="00A36A6B"/>
    <w:rsid w:val="00A531C8"/>
    <w:rsid w:val="00A7075B"/>
    <w:rsid w:val="00AB5BC2"/>
    <w:rsid w:val="00AC0B1B"/>
    <w:rsid w:val="00AE2C8F"/>
    <w:rsid w:val="00AF2D5B"/>
    <w:rsid w:val="00B01316"/>
    <w:rsid w:val="00B16560"/>
    <w:rsid w:val="00B1738E"/>
    <w:rsid w:val="00B22F1C"/>
    <w:rsid w:val="00B25C7B"/>
    <w:rsid w:val="00B270DE"/>
    <w:rsid w:val="00B343BA"/>
    <w:rsid w:val="00B74BE2"/>
    <w:rsid w:val="00B93E77"/>
    <w:rsid w:val="00BA7EDD"/>
    <w:rsid w:val="00BC4EF1"/>
    <w:rsid w:val="00BC5DEB"/>
    <w:rsid w:val="00BE0997"/>
    <w:rsid w:val="00BE1FA7"/>
    <w:rsid w:val="00C021DC"/>
    <w:rsid w:val="00C6340C"/>
    <w:rsid w:val="00C651C8"/>
    <w:rsid w:val="00C73428"/>
    <w:rsid w:val="00C806D8"/>
    <w:rsid w:val="00C826A2"/>
    <w:rsid w:val="00C83E34"/>
    <w:rsid w:val="00CC14FA"/>
    <w:rsid w:val="00CF2A1C"/>
    <w:rsid w:val="00D15D3A"/>
    <w:rsid w:val="00D22A71"/>
    <w:rsid w:val="00D555C3"/>
    <w:rsid w:val="00D678F9"/>
    <w:rsid w:val="00D721CA"/>
    <w:rsid w:val="00D86943"/>
    <w:rsid w:val="00D96584"/>
    <w:rsid w:val="00DE1C08"/>
    <w:rsid w:val="00E02068"/>
    <w:rsid w:val="00E03D15"/>
    <w:rsid w:val="00E21DD1"/>
    <w:rsid w:val="00E528C1"/>
    <w:rsid w:val="00E55F9E"/>
    <w:rsid w:val="00E6140C"/>
    <w:rsid w:val="00E70B32"/>
    <w:rsid w:val="00E75E99"/>
    <w:rsid w:val="00E82895"/>
    <w:rsid w:val="00E90538"/>
    <w:rsid w:val="00E9134E"/>
    <w:rsid w:val="00E94359"/>
    <w:rsid w:val="00EA087B"/>
    <w:rsid w:val="00EA5754"/>
    <w:rsid w:val="00ED1DA1"/>
    <w:rsid w:val="00ED25C1"/>
    <w:rsid w:val="00EE78E1"/>
    <w:rsid w:val="00F0127D"/>
    <w:rsid w:val="00F1112B"/>
    <w:rsid w:val="00F3285E"/>
    <w:rsid w:val="00F536D5"/>
    <w:rsid w:val="00F902F5"/>
    <w:rsid w:val="00F9581D"/>
    <w:rsid w:val="00FC0CA6"/>
    <w:rsid w:val="00FC1801"/>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9CF779"/>
  <w14:defaultImageDpi w14:val="300"/>
  <w15:docId w15:val="{6CE74CED-C83A-A24E-B307-13BF436EC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ED25C1"/>
    <w:pPr>
      <w:ind w:left="720"/>
      <w:contextualSpacing/>
    </w:pPr>
  </w:style>
  <w:style w:type="character" w:styleId="Refdecomentario">
    <w:name w:val="annotation reference"/>
    <w:basedOn w:val="Fuentedeprrafopredeter"/>
    <w:uiPriority w:val="99"/>
    <w:semiHidden/>
    <w:unhideWhenUsed/>
    <w:rsid w:val="00D678F9"/>
    <w:rPr>
      <w:sz w:val="16"/>
      <w:szCs w:val="16"/>
    </w:rPr>
  </w:style>
  <w:style w:type="paragraph" w:styleId="Textocomentario">
    <w:name w:val="annotation text"/>
    <w:basedOn w:val="Normal"/>
    <w:link w:val="TextocomentarioCar"/>
    <w:uiPriority w:val="99"/>
    <w:semiHidden/>
    <w:unhideWhenUsed/>
    <w:rsid w:val="00D678F9"/>
    <w:rPr>
      <w:sz w:val="20"/>
      <w:szCs w:val="20"/>
    </w:rPr>
  </w:style>
  <w:style w:type="character" w:customStyle="1" w:styleId="TextocomentarioCar">
    <w:name w:val="Texto comentario Car"/>
    <w:basedOn w:val="Fuentedeprrafopredeter"/>
    <w:link w:val="Textocomentario"/>
    <w:uiPriority w:val="99"/>
    <w:semiHidden/>
    <w:rsid w:val="00D678F9"/>
    <w:rPr>
      <w:sz w:val="20"/>
      <w:szCs w:val="20"/>
    </w:rPr>
  </w:style>
  <w:style w:type="paragraph" w:styleId="Asuntodelcomentario">
    <w:name w:val="annotation subject"/>
    <w:basedOn w:val="Textocomentario"/>
    <w:next w:val="Textocomentario"/>
    <w:link w:val="AsuntodelcomentarioCar"/>
    <w:uiPriority w:val="99"/>
    <w:semiHidden/>
    <w:unhideWhenUsed/>
    <w:rsid w:val="00D678F9"/>
    <w:rPr>
      <w:b/>
      <w:bCs/>
    </w:rPr>
  </w:style>
  <w:style w:type="character" w:customStyle="1" w:styleId="AsuntodelcomentarioCar">
    <w:name w:val="Asunto del comentario Car"/>
    <w:basedOn w:val="TextocomentarioCar"/>
    <w:link w:val="Asuntodelcomentario"/>
    <w:uiPriority w:val="99"/>
    <w:semiHidden/>
    <w:rsid w:val="00D678F9"/>
    <w:rPr>
      <w:b/>
      <w:bCs/>
      <w:sz w:val="20"/>
      <w:szCs w:val="20"/>
    </w:rPr>
  </w:style>
  <w:style w:type="paragraph" w:styleId="Revisin">
    <w:name w:val="Revision"/>
    <w:hidden/>
    <w:uiPriority w:val="99"/>
    <w:semiHidden/>
    <w:rsid w:val="001D4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09342">
      <w:bodyDiv w:val="1"/>
      <w:marLeft w:val="0"/>
      <w:marRight w:val="0"/>
      <w:marTop w:val="0"/>
      <w:marBottom w:val="0"/>
      <w:divBdr>
        <w:top w:val="none" w:sz="0" w:space="0" w:color="auto"/>
        <w:left w:val="none" w:sz="0" w:space="0" w:color="auto"/>
        <w:bottom w:val="none" w:sz="0" w:space="0" w:color="auto"/>
        <w:right w:val="none" w:sz="0" w:space="0" w:color="auto"/>
      </w:divBdr>
    </w:div>
    <w:div w:id="1403794685">
      <w:bodyDiv w:val="1"/>
      <w:marLeft w:val="0"/>
      <w:marRight w:val="0"/>
      <w:marTop w:val="0"/>
      <w:marBottom w:val="0"/>
      <w:divBdr>
        <w:top w:val="none" w:sz="0" w:space="0" w:color="auto"/>
        <w:left w:val="none" w:sz="0" w:space="0" w:color="auto"/>
        <w:bottom w:val="none" w:sz="0" w:space="0" w:color="auto"/>
        <w:right w:val="none" w:sz="0" w:space="0" w:color="auto"/>
      </w:divBdr>
    </w:div>
    <w:div w:id="2111702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37ACC-E47D-4548-AD90-0160550F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1576</Words>
  <Characters>8673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Juan Braulio Rivera Lomas</cp:lastModifiedBy>
  <cp:revision>142</cp:revision>
  <cp:lastPrinted>2018-12-10T18:18:00Z</cp:lastPrinted>
  <dcterms:created xsi:type="dcterms:W3CDTF">2023-01-19T02:58:00Z</dcterms:created>
  <dcterms:modified xsi:type="dcterms:W3CDTF">2023-01-20T16:42:00Z</dcterms:modified>
</cp:coreProperties>
</file>