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AB2B" w14:textId="77777777" w:rsidR="00D84350" w:rsidRPr="00C4352F" w:rsidRDefault="00D84350" w:rsidP="00D84350">
      <w:pPr>
        <w:jc w:val="center"/>
        <w:rPr>
          <w:rFonts w:ascii="Montserrat" w:hAnsi="Montserrat" w:cs="Times New Roman"/>
          <w:b/>
        </w:rPr>
      </w:pPr>
      <w:r w:rsidRPr="00C4352F">
        <w:rPr>
          <w:rFonts w:ascii="Montserrat" w:hAnsi="Montserrat" w:cs="Times New Roman"/>
          <w:b/>
        </w:rPr>
        <w:t>Informe de desempeño de los Programas Presupuestarios del CONACYT</w:t>
      </w:r>
    </w:p>
    <w:p w14:paraId="66CE57BA" w14:textId="77777777" w:rsidR="00D84350" w:rsidRPr="00C4352F" w:rsidRDefault="00D84350" w:rsidP="00D84350">
      <w:pPr>
        <w:jc w:val="center"/>
        <w:rPr>
          <w:rFonts w:ascii="Montserrat" w:hAnsi="Montserrat" w:cs="Times New Roman"/>
          <w:b/>
        </w:rPr>
      </w:pPr>
    </w:p>
    <w:p w14:paraId="150862E0" w14:textId="1FB55A8A" w:rsidR="00D84350" w:rsidRPr="00C4352F" w:rsidRDefault="00D84350" w:rsidP="003C4AA1">
      <w:pPr>
        <w:jc w:val="center"/>
        <w:rPr>
          <w:rFonts w:ascii="Montserrat" w:hAnsi="Montserrat" w:cs="Times New Roman"/>
          <w:b/>
        </w:rPr>
      </w:pPr>
      <w:r w:rsidRPr="00C4352F">
        <w:rPr>
          <w:rFonts w:ascii="Montserrat" w:hAnsi="Montserrat" w:cs="Times New Roman"/>
          <w:b/>
        </w:rPr>
        <w:t>(1º Trimestre 202</w:t>
      </w:r>
      <w:r w:rsidR="003C4AA1" w:rsidRPr="00C4352F">
        <w:rPr>
          <w:rFonts w:ascii="Montserrat" w:hAnsi="Montserrat" w:cs="Times New Roman"/>
          <w:b/>
        </w:rPr>
        <w:t>3</w:t>
      </w:r>
      <w:r w:rsidRPr="00C4352F">
        <w:rPr>
          <w:rFonts w:ascii="Montserrat" w:hAnsi="Montserrat" w:cs="Times New Roman"/>
          <w:b/>
        </w:rPr>
        <w:t>)</w:t>
      </w:r>
    </w:p>
    <w:p w14:paraId="7DC5D8DA" w14:textId="77777777" w:rsidR="00D84350" w:rsidRPr="00C4352F" w:rsidRDefault="00D84350" w:rsidP="00D84350">
      <w:pPr>
        <w:jc w:val="center"/>
        <w:rPr>
          <w:rFonts w:ascii="Montserrat" w:hAnsi="Montserrat" w:cs="Times New Roman"/>
        </w:rPr>
      </w:pPr>
    </w:p>
    <w:p w14:paraId="087F67BE" w14:textId="77777777" w:rsidR="008B76DF" w:rsidRPr="00865EF3" w:rsidRDefault="008B76DF" w:rsidP="008B76DF">
      <w:pPr>
        <w:jc w:val="both"/>
        <w:rPr>
          <w:rFonts w:ascii="Montserrat" w:hAnsi="Montserrat" w:cs="Times New Roman"/>
        </w:rPr>
      </w:pPr>
      <w:r w:rsidRPr="00865EF3">
        <w:rPr>
          <w:rFonts w:ascii="Montserrat" w:hAnsi="Montserrat" w:cs="Times New Roman"/>
        </w:rPr>
        <w:t>En atención a la normatividad vigente en materia de monitoreo y evaluación, el Consejo Nacional de Ciencia y Tecnología (Conacyt), se encuentra mandatado a realizar reportes periódicos de los avances de metas de indicadores, correspondientes a sus programas presupuestarios. Dichos reportes, se basan en la información contenida en las Matrices de Indicadores para Resultados (MIR), registradas en el Portal Aplicativo de la Secretaría de Hacienda (PASH).</w:t>
      </w:r>
    </w:p>
    <w:p w14:paraId="1ABB8A64" w14:textId="77777777" w:rsidR="008B76DF" w:rsidRPr="00865EF3" w:rsidRDefault="008B76DF" w:rsidP="008B76DF">
      <w:pPr>
        <w:jc w:val="both"/>
        <w:rPr>
          <w:rFonts w:ascii="Montserrat" w:hAnsi="Montserrat" w:cs="Times New Roman"/>
        </w:rPr>
      </w:pPr>
    </w:p>
    <w:p w14:paraId="27B8D1CE" w14:textId="77777777" w:rsidR="008B76DF" w:rsidRPr="00865EF3" w:rsidRDefault="008B76DF" w:rsidP="008B76DF">
      <w:pPr>
        <w:jc w:val="both"/>
        <w:rPr>
          <w:rFonts w:ascii="Montserrat" w:hAnsi="Montserrat" w:cs="Times New Roman"/>
        </w:rPr>
      </w:pPr>
      <w:r w:rsidRPr="00865EF3">
        <w:rPr>
          <w:rFonts w:ascii="Montserrat" w:hAnsi="Montserrat" w:cs="Times New Roman"/>
        </w:rPr>
        <w:t>La mecánica de reporte ante las diversas instancias fiscalizadoras es la siguiente:</w:t>
      </w:r>
    </w:p>
    <w:p w14:paraId="78559D81" w14:textId="77777777" w:rsidR="008B76DF" w:rsidRPr="00865EF3" w:rsidRDefault="008B76DF" w:rsidP="008B76DF">
      <w:pPr>
        <w:jc w:val="both"/>
        <w:rPr>
          <w:rFonts w:ascii="Montserrat" w:hAnsi="Montserrat" w:cs="Times New Roman"/>
        </w:rPr>
      </w:pPr>
    </w:p>
    <w:p w14:paraId="07885D9F" w14:textId="77777777" w:rsidR="008B76DF" w:rsidRPr="00865EF3" w:rsidRDefault="008B76DF" w:rsidP="008B76DF">
      <w:pPr>
        <w:pStyle w:val="Prrafodelista"/>
        <w:numPr>
          <w:ilvl w:val="0"/>
          <w:numId w:val="1"/>
        </w:numPr>
        <w:jc w:val="both"/>
        <w:rPr>
          <w:rFonts w:ascii="Montserrat" w:hAnsi="Montserrat" w:cs="Times New Roman"/>
        </w:rPr>
      </w:pPr>
      <w:r w:rsidRPr="00865EF3">
        <w:rPr>
          <w:rFonts w:ascii="Montserrat" w:hAnsi="Montserrat" w:cs="Times New Roman"/>
        </w:rPr>
        <w:t>En el primer y tercer trimestre se reportan los indicadores de periodicidad trimestral.</w:t>
      </w:r>
    </w:p>
    <w:p w14:paraId="157C44B4" w14:textId="77777777" w:rsidR="008B76DF" w:rsidRPr="00865EF3" w:rsidRDefault="008B76DF" w:rsidP="008B76DF">
      <w:pPr>
        <w:pStyle w:val="Prrafodelista"/>
        <w:numPr>
          <w:ilvl w:val="0"/>
          <w:numId w:val="1"/>
        </w:numPr>
        <w:jc w:val="both"/>
        <w:rPr>
          <w:rFonts w:ascii="Montserrat" w:hAnsi="Montserrat" w:cs="Times New Roman"/>
        </w:rPr>
      </w:pPr>
      <w:r w:rsidRPr="00865EF3">
        <w:rPr>
          <w:rFonts w:ascii="Montserrat" w:hAnsi="Montserrat" w:cs="Times New Roman"/>
        </w:rPr>
        <w:t>En el segundo trimestre se reportan los indicadores con periodicidad trimestral, así como los que derivan del primer semestre.</w:t>
      </w:r>
    </w:p>
    <w:p w14:paraId="5B6459BF" w14:textId="77777777" w:rsidR="008B76DF" w:rsidRPr="00865EF3" w:rsidRDefault="008B76DF" w:rsidP="008B76DF">
      <w:pPr>
        <w:pStyle w:val="Prrafodelista"/>
        <w:numPr>
          <w:ilvl w:val="0"/>
          <w:numId w:val="1"/>
        </w:numPr>
        <w:jc w:val="both"/>
        <w:rPr>
          <w:rFonts w:ascii="Montserrat" w:hAnsi="Montserrat" w:cs="Times New Roman"/>
        </w:rPr>
      </w:pPr>
      <w:r w:rsidRPr="00865EF3">
        <w:rPr>
          <w:rFonts w:ascii="Montserrat" w:hAnsi="Montserrat" w:cs="Times New Roman"/>
        </w:rPr>
        <w:t xml:space="preserve">Al cierre de año se reportan los indicadores trimestrales, los del segundo semestre y los anuales. </w:t>
      </w:r>
    </w:p>
    <w:p w14:paraId="33D3E29B" w14:textId="77777777" w:rsidR="008B76DF" w:rsidRPr="00865EF3" w:rsidRDefault="008B76DF" w:rsidP="008B76DF">
      <w:pPr>
        <w:ind w:left="360"/>
        <w:jc w:val="both"/>
        <w:rPr>
          <w:rFonts w:ascii="Montserrat" w:hAnsi="Montserrat" w:cs="Times New Roman"/>
        </w:rPr>
      </w:pPr>
    </w:p>
    <w:p w14:paraId="62A93590" w14:textId="77777777" w:rsidR="008B76DF" w:rsidRPr="00865EF3" w:rsidRDefault="008B76DF" w:rsidP="008B76DF">
      <w:pPr>
        <w:jc w:val="both"/>
        <w:rPr>
          <w:rFonts w:ascii="Montserrat" w:hAnsi="Montserrat" w:cs="Times New Roman"/>
        </w:rPr>
      </w:pPr>
      <w:r w:rsidRPr="00865EF3">
        <w:rPr>
          <w:rFonts w:ascii="Montserrat" w:hAnsi="Montserrat" w:cs="Times New Roman"/>
        </w:rPr>
        <w:t xml:space="preserve">Cabe señalar que, para calcular el desempeño de cada programa, se analiza el sentido del indicador </w:t>
      </w:r>
      <w:proofErr w:type="gramStart"/>
      <w:r w:rsidRPr="00865EF3">
        <w:rPr>
          <w:rFonts w:ascii="Montserrat" w:hAnsi="Montserrat" w:cs="Times New Roman"/>
        </w:rPr>
        <w:t>y  el</w:t>
      </w:r>
      <w:proofErr w:type="gramEnd"/>
      <w:r w:rsidRPr="00865EF3">
        <w:rPr>
          <w:rFonts w:ascii="Montserrat" w:hAnsi="Montserrat" w:cs="Times New Roman"/>
        </w:rPr>
        <w:t xml:space="preserve"> tipo de indicador, si es, por ejemplo, porcentaje, tasa de variación o promedio. Con base en estos elementos, se define el tipo de fórmula con la que se determina el porcentaje de cumplimiento. Para ello, se genera un cociente entre la meta alcanzada con respecto a la meta planeada para el trimestre correspondiente, multiplicado por 100 a fin de expresarse como porcentaje.</w:t>
      </w:r>
    </w:p>
    <w:p w14:paraId="365B08EF" w14:textId="53682060" w:rsidR="00D84350" w:rsidRPr="00865EF3" w:rsidRDefault="00D84350" w:rsidP="00D84350">
      <w:pPr>
        <w:jc w:val="both"/>
        <w:rPr>
          <w:rFonts w:ascii="Montserrat" w:hAnsi="Montserrat" w:cs="Times New Roman"/>
        </w:rPr>
      </w:pPr>
      <w:r w:rsidRPr="00865EF3">
        <w:rPr>
          <w:rFonts w:ascii="Montserrat" w:hAnsi="Montserrat" w:cs="Times New Roman"/>
        </w:rPr>
        <w:t xml:space="preserve"> </w:t>
      </w:r>
    </w:p>
    <w:p w14:paraId="5D729B5A" w14:textId="77777777" w:rsidR="00D84350" w:rsidRPr="00865EF3" w:rsidRDefault="00D84350" w:rsidP="00D84350">
      <w:pPr>
        <w:jc w:val="both"/>
        <w:rPr>
          <w:rFonts w:ascii="Montserrat" w:hAnsi="Montserrat" w:cs="Times New Roman"/>
        </w:rPr>
      </w:pPr>
    </w:p>
    <w:p w14:paraId="10BEC66E" w14:textId="77777777" w:rsidR="00D84350" w:rsidRPr="00865EF3" w:rsidRDefault="00D84350" w:rsidP="00D84350">
      <w:pPr>
        <w:jc w:val="both"/>
        <w:rPr>
          <w:rFonts w:ascii="Montserrat" w:hAnsi="Montserrat" w:cs="Times New Roman"/>
        </w:rPr>
      </w:pPr>
      <w:r w:rsidRPr="00865EF3">
        <w:rPr>
          <w:rFonts w:ascii="Montserrat" w:hAnsi="Montserrat" w:cs="Times New Roman"/>
        </w:rPr>
        <w:t>Los rangos para evaluar el desempeño de los programas presupuestarios son los siguientes:</w:t>
      </w:r>
    </w:p>
    <w:p w14:paraId="01CF31AC" w14:textId="77777777" w:rsidR="00D84350" w:rsidRPr="00865EF3" w:rsidRDefault="00D84350" w:rsidP="00D84350">
      <w:pPr>
        <w:jc w:val="both"/>
        <w:rPr>
          <w:rFonts w:ascii="Montserrat" w:hAnsi="Montserrat" w:cs="Times New Roman"/>
        </w:rPr>
      </w:pPr>
    </w:p>
    <w:p w14:paraId="04B14072" w14:textId="77777777" w:rsidR="00D84350" w:rsidRPr="00865EF3" w:rsidRDefault="00D84350" w:rsidP="00D84350">
      <w:pPr>
        <w:pStyle w:val="Prrafodelista"/>
        <w:numPr>
          <w:ilvl w:val="0"/>
          <w:numId w:val="2"/>
        </w:numPr>
        <w:jc w:val="both"/>
        <w:rPr>
          <w:rFonts w:ascii="Montserrat" w:hAnsi="Montserrat" w:cs="Times New Roman"/>
        </w:rPr>
      </w:pPr>
      <w:r w:rsidRPr="00865EF3">
        <w:rPr>
          <w:rFonts w:ascii="Montserrat" w:hAnsi="Montserrat" w:cs="Times New Roman"/>
        </w:rPr>
        <w:t>Un indicador tiene un desempeño adecuado cuando su porcentaje de cumplimiento oscila entre el 80 y el 115 por ciento. Esto, debido a los factores imponderables que eventualmente pueden incidir sobre el indicador, generando que el desempeño no sea igual a 100 por ciento.</w:t>
      </w:r>
    </w:p>
    <w:p w14:paraId="1F02084C" w14:textId="77777777" w:rsidR="00D84350" w:rsidRPr="00865EF3" w:rsidRDefault="00D84350" w:rsidP="00D84350">
      <w:pPr>
        <w:pStyle w:val="Prrafodelista"/>
        <w:numPr>
          <w:ilvl w:val="0"/>
          <w:numId w:val="2"/>
        </w:numPr>
        <w:jc w:val="both"/>
        <w:rPr>
          <w:rFonts w:ascii="Montserrat" w:hAnsi="Montserrat" w:cs="Times New Roman"/>
        </w:rPr>
      </w:pPr>
      <w:r w:rsidRPr="00865EF3">
        <w:rPr>
          <w:rFonts w:ascii="Montserrat" w:hAnsi="Montserrat" w:cs="Times New Roman"/>
        </w:rPr>
        <w:t>Cuando el indicador tiene un desempeño menor al 80 por ciento, la meta alcanzada es mucho menor a la meta planeada</w:t>
      </w:r>
    </w:p>
    <w:p w14:paraId="2C04FC88" w14:textId="77777777" w:rsidR="00D84350" w:rsidRPr="00865EF3" w:rsidRDefault="00D84350" w:rsidP="00D84350">
      <w:pPr>
        <w:pStyle w:val="Prrafodelista"/>
        <w:numPr>
          <w:ilvl w:val="0"/>
          <w:numId w:val="2"/>
        </w:numPr>
        <w:jc w:val="both"/>
        <w:rPr>
          <w:rFonts w:ascii="Montserrat" w:hAnsi="Montserrat" w:cs="Times New Roman"/>
        </w:rPr>
      </w:pPr>
      <w:r w:rsidRPr="00865EF3">
        <w:rPr>
          <w:rFonts w:ascii="Montserrat" w:hAnsi="Montserrat" w:cs="Times New Roman"/>
        </w:rPr>
        <w:t>Si el indicador es superior al 115 por ciento, denota que la meta alcanzada es mucho mayor que la planeada.</w:t>
      </w:r>
    </w:p>
    <w:p w14:paraId="5658A916" w14:textId="77777777" w:rsidR="00D84350" w:rsidRPr="00865EF3" w:rsidRDefault="00D84350" w:rsidP="00D84350">
      <w:pPr>
        <w:jc w:val="both"/>
        <w:rPr>
          <w:rFonts w:ascii="Montserrat" w:hAnsi="Montserrat" w:cs="Times New Roman"/>
        </w:rPr>
      </w:pPr>
    </w:p>
    <w:p w14:paraId="225B919D" w14:textId="5CAEE8ED" w:rsidR="00D84350" w:rsidRPr="00865EF3" w:rsidRDefault="00D84350" w:rsidP="00D84350">
      <w:pPr>
        <w:jc w:val="both"/>
        <w:rPr>
          <w:rFonts w:ascii="Montserrat" w:hAnsi="Montserrat" w:cs="Times New Roman"/>
          <w:noProof/>
          <w:color w:val="FF0000"/>
          <w:lang w:val="es-MX" w:eastAsia="es-MX"/>
        </w:rPr>
      </w:pPr>
      <w:r w:rsidRPr="00865EF3">
        <w:rPr>
          <w:rFonts w:ascii="Montserrat" w:hAnsi="Montserrat" w:cs="Times New Roman"/>
        </w:rPr>
        <w:t xml:space="preserve">En los dos últimos casos, se sugiere mejorar la planificación de las metas, a efecto de contar con un buen desempeño </w:t>
      </w:r>
      <w:r w:rsidR="00147009" w:rsidRPr="00865EF3">
        <w:rPr>
          <w:rFonts w:ascii="Montserrat" w:hAnsi="Montserrat" w:cs="Times New Roman"/>
        </w:rPr>
        <w:t xml:space="preserve">del programa reflejado en el </w:t>
      </w:r>
      <w:r w:rsidRPr="00865EF3">
        <w:rPr>
          <w:rFonts w:ascii="Montserrat" w:hAnsi="Montserrat" w:cs="Times New Roman"/>
        </w:rPr>
        <w:t>indicador.</w:t>
      </w:r>
    </w:p>
    <w:p w14:paraId="2DEE0350" w14:textId="77777777" w:rsidR="00D84350" w:rsidRPr="00865EF3" w:rsidRDefault="00D84350" w:rsidP="00D84350">
      <w:pPr>
        <w:jc w:val="both"/>
        <w:rPr>
          <w:rFonts w:ascii="Montserrat" w:hAnsi="Montserrat" w:cs="Times New Roman"/>
          <w:color w:val="FF0000"/>
        </w:rPr>
      </w:pPr>
    </w:p>
    <w:p w14:paraId="1F01CE49" w14:textId="3D2AC089" w:rsidR="00D84350" w:rsidRPr="00865EF3" w:rsidRDefault="00D84350" w:rsidP="00D84350">
      <w:pPr>
        <w:jc w:val="both"/>
        <w:rPr>
          <w:rFonts w:ascii="Montserrat" w:hAnsi="Montserrat" w:cs="Times New Roman"/>
        </w:rPr>
      </w:pPr>
      <w:r w:rsidRPr="00865EF3">
        <w:rPr>
          <w:rFonts w:ascii="Montserrat" w:hAnsi="Montserrat" w:cs="Times New Roman"/>
        </w:rPr>
        <w:t>Como aspectos relevantes del balance del 1° trimestre de 202</w:t>
      </w:r>
      <w:r w:rsidR="003C4AA1" w:rsidRPr="00865EF3">
        <w:rPr>
          <w:rFonts w:ascii="Montserrat" w:hAnsi="Montserrat" w:cs="Times New Roman"/>
        </w:rPr>
        <w:t>3</w:t>
      </w:r>
      <w:r w:rsidRPr="00865EF3">
        <w:rPr>
          <w:rFonts w:ascii="Montserrat" w:hAnsi="Montserrat" w:cs="Times New Roman"/>
        </w:rPr>
        <w:t>, en los cuadros 1 y 2, se exponen los siguientes hallazgos</w:t>
      </w:r>
      <w:r w:rsidR="00147009" w:rsidRPr="00865EF3">
        <w:rPr>
          <w:rFonts w:ascii="Montserrat" w:hAnsi="Montserrat" w:cs="Times New Roman"/>
        </w:rPr>
        <w:t>.</w:t>
      </w:r>
    </w:p>
    <w:p w14:paraId="23537F2B" w14:textId="77777777" w:rsidR="00D84350" w:rsidRPr="00865EF3" w:rsidRDefault="00D84350" w:rsidP="00D84350">
      <w:pPr>
        <w:jc w:val="both"/>
        <w:rPr>
          <w:rFonts w:ascii="Montserrat" w:hAnsi="Montserrat"/>
        </w:rPr>
      </w:pPr>
    </w:p>
    <w:p w14:paraId="55425462" w14:textId="77777777" w:rsidR="00D84350" w:rsidRPr="00865EF3" w:rsidRDefault="00D84350" w:rsidP="00D84350">
      <w:pPr>
        <w:jc w:val="both"/>
        <w:rPr>
          <w:rFonts w:ascii="Montserrat" w:hAnsi="Montserrat"/>
        </w:rPr>
      </w:pPr>
    </w:p>
    <w:p w14:paraId="55690971" w14:textId="77777777" w:rsidR="00D84350" w:rsidRPr="00865EF3" w:rsidRDefault="00D84350" w:rsidP="00D84350">
      <w:pPr>
        <w:jc w:val="both"/>
        <w:rPr>
          <w:rFonts w:ascii="Montserrat" w:hAnsi="Montserrat"/>
        </w:rPr>
      </w:pPr>
    </w:p>
    <w:p w14:paraId="399C09C5" w14:textId="77777777" w:rsidR="00D84350" w:rsidRPr="00865EF3" w:rsidRDefault="00D84350" w:rsidP="00D84350">
      <w:pPr>
        <w:jc w:val="both"/>
        <w:rPr>
          <w:rFonts w:ascii="Montserrat" w:hAnsi="Montserrat"/>
        </w:rPr>
      </w:pPr>
    </w:p>
    <w:p w14:paraId="66FAE1F1" w14:textId="77777777" w:rsidR="00D84350" w:rsidRPr="00865EF3" w:rsidRDefault="00D84350" w:rsidP="00D84350">
      <w:pPr>
        <w:jc w:val="both"/>
        <w:rPr>
          <w:rFonts w:ascii="Montserrat" w:hAnsi="Montserrat"/>
        </w:rPr>
      </w:pPr>
    </w:p>
    <w:tbl>
      <w:tblPr>
        <w:tblW w:w="10088" w:type="dxa"/>
        <w:tblCellMar>
          <w:left w:w="70" w:type="dxa"/>
          <w:right w:w="70" w:type="dxa"/>
        </w:tblCellMar>
        <w:tblLook w:val="04A0" w:firstRow="1" w:lastRow="0" w:firstColumn="1" w:lastColumn="0" w:noHBand="0" w:noVBand="1"/>
      </w:tblPr>
      <w:tblGrid>
        <w:gridCol w:w="3294"/>
        <w:gridCol w:w="1761"/>
        <w:gridCol w:w="1704"/>
        <w:gridCol w:w="1619"/>
        <w:gridCol w:w="1897"/>
      </w:tblGrid>
      <w:tr w:rsidR="00D82BD6" w:rsidRPr="00D41E52" w14:paraId="5DA718D5" w14:textId="77777777" w:rsidTr="00D82BD6">
        <w:trPr>
          <w:trHeight w:val="218"/>
        </w:trPr>
        <w:tc>
          <w:tcPr>
            <w:tcW w:w="10088" w:type="dxa"/>
            <w:gridSpan w:val="5"/>
            <w:tcBorders>
              <w:top w:val="nil"/>
              <w:left w:val="nil"/>
              <w:bottom w:val="nil"/>
              <w:right w:val="nil"/>
            </w:tcBorders>
            <w:shd w:val="clear" w:color="000000" w:fill="FFFFFF"/>
            <w:vAlign w:val="center"/>
            <w:hideMark/>
          </w:tcPr>
          <w:p w14:paraId="107E704E"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Cuadro 1: Cumplimiento de las metas al primer trimestre de 2023 de los Indicadores de las MIR del CONACYT</w:t>
            </w:r>
          </w:p>
        </w:tc>
      </w:tr>
      <w:tr w:rsidR="00D82BD6" w:rsidRPr="00D41E52" w14:paraId="4101ABF3" w14:textId="77777777" w:rsidTr="00D82BD6">
        <w:trPr>
          <w:trHeight w:val="225"/>
        </w:trPr>
        <w:tc>
          <w:tcPr>
            <w:tcW w:w="3294" w:type="dxa"/>
            <w:tcBorders>
              <w:top w:val="nil"/>
              <w:left w:val="nil"/>
              <w:bottom w:val="nil"/>
              <w:right w:val="nil"/>
            </w:tcBorders>
            <w:shd w:val="clear" w:color="000000" w:fill="FFFFFF"/>
            <w:vAlign w:val="center"/>
            <w:hideMark/>
          </w:tcPr>
          <w:p w14:paraId="6E707B91"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 </w:t>
            </w:r>
          </w:p>
        </w:tc>
        <w:tc>
          <w:tcPr>
            <w:tcW w:w="1761" w:type="dxa"/>
            <w:tcBorders>
              <w:top w:val="nil"/>
              <w:left w:val="nil"/>
              <w:bottom w:val="nil"/>
              <w:right w:val="nil"/>
            </w:tcBorders>
            <w:shd w:val="clear" w:color="000000" w:fill="FFFFFF"/>
            <w:vAlign w:val="center"/>
            <w:hideMark/>
          </w:tcPr>
          <w:p w14:paraId="6C4161DC"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 </w:t>
            </w:r>
          </w:p>
        </w:tc>
        <w:tc>
          <w:tcPr>
            <w:tcW w:w="1704" w:type="dxa"/>
            <w:tcBorders>
              <w:top w:val="nil"/>
              <w:left w:val="nil"/>
              <w:bottom w:val="nil"/>
              <w:right w:val="nil"/>
            </w:tcBorders>
            <w:shd w:val="clear" w:color="000000" w:fill="FFFFFF"/>
            <w:vAlign w:val="center"/>
            <w:hideMark/>
          </w:tcPr>
          <w:p w14:paraId="23541C40"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 </w:t>
            </w:r>
          </w:p>
        </w:tc>
        <w:tc>
          <w:tcPr>
            <w:tcW w:w="1431" w:type="dxa"/>
            <w:tcBorders>
              <w:top w:val="nil"/>
              <w:left w:val="nil"/>
              <w:bottom w:val="nil"/>
              <w:right w:val="nil"/>
            </w:tcBorders>
            <w:shd w:val="clear" w:color="000000" w:fill="FFFFFF"/>
            <w:vAlign w:val="center"/>
            <w:hideMark/>
          </w:tcPr>
          <w:p w14:paraId="6CCC894E"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 </w:t>
            </w:r>
          </w:p>
        </w:tc>
        <w:tc>
          <w:tcPr>
            <w:tcW w:w="1897" w:type="dxa"/>
            <w:tcBorders>
              <w:top w:val="nil"/>
              <w:left w:val="nil"/>
              <w:bottom w:val="nil"/>
              <w:right w:val="nil"/>
            </w:tcBorders>
            <w:shd w:val="clear" w:color="000000" w:fill="FFFFFF"/>
            <w:vAlign w:val="center"/>
            <w:hideMark/>
          </w:tcPr>
          <w:p w14:paraId="7DBC6F2A"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 </w:t>
            </w:r>
          </w:p>
        </w:tc>
      </w:tr>
      <w:tr w:rsidR="00D82BD6" w:rsidRPr="00D41E52" w14:paraId="1F91A566" w14:textId="77777777" w:rsidTr="00D82BD6">
        <w:trPr>
          <w:trHeight w:val="152"/>
        </w:trPr>
        <w:tc>
          <w:tcPr>
            <w:tcW w:w="3294" w:type="dxa"/>
            <w:vMerge w:val="restart"/>
            <w:tcBorders>
              <w:top w:val="single" w:sz="8" w:space="0" w:color="auto"/>
              <w:left w:val="nil"/>
              <w:bottom w:val="single" w:sz="8" w:space="0" w:color="000000"/>
              <w:right w:val="nil"/>
            </w:tcBorders>
            <w:shd w:val="clear" w:color="000000" w:fill="16365C"/>
            <w:vAlign w:val="center"/>
            <w:hideMark/>
          </w:tcPr>
          <w:p w14:paraId="782E4F55" w14:textId="77777777" w:rsidR="00D82BD6" w:rsidRPr="00865EF3" w:rsidRDefault="00D82BD6" w:rsidP="00D82BD6">
            <w:pPr>
              <w:jc w:val="center"/>
              <w:rPr>
                <w:rFonts w:ascii="Montserrat" w:eastAsia="Times New Roman" w:hAnsi="Montserrat" w:cs="Calibri"/>
                <w:b/>
                <w:bCs/>
                <w:color w:val="FFFFFF"/>
                <w:lang w:val="es-MX" w:eastAsia="es-MX"/>
              </w:rPr>
            </w:pPr>
            <w:r w:rsidRPr="00865EF3">
              <w:rPr>
                <w:rFonts w:ascii="Montserrat" w:eastAsia="Times New Roman" w:hAnsi="Montserrat" w:cs="Calibri"/>
                <w:b/>
                <w:bCs/>
                <w:color w:val="FFFFFF"/>
                <w:lang w:val="es-MX" w:eastAsia="es-MX"/>
              </w:rPr>
              <w:t>Programa presupuestario (Modalidad y nombre)</w:t>
            </w:r>
          </w:p>
        </w:tc>
        <w:tc>
          <w:tcPr>
            <w:tcW w:w="4896" w:type="dxa"/>
            <w:gridSpan w:val="3"/>
            <w:tcBorders>
              <w:top w:val="single" w:sz="8" w:space="0" w:color="auto"/>
              <w:left w:val="nil"/>
              <w:bottom w:val="nil"/>
              <w:right w:val="nil"/>
            </w:tcBorders>
            <w:shd w:val="clear" w:color="000000" w:fill="16365C"/>
            <w:noWrap/>
            <w:vAlign w:val="center"/>
            <w:hideMark/>
          </w:tcPr>
          <w:p w14:paraId="23A669B7" w14:textId="77777777" w:rsidR="00D82BD6" w:rsidRPr="00865EF3" w:rsidRDefault="00D82BD6" w:rsidP="00D82BD6">
            <w:pPr>
              <w:jc w:val="center"/>
              <w:rPr>
                <w:rFonts w:ascii="Montserrat" w:eastAsia="Times New Roman" w:hAnsi="Montserrat" w:cs="Calibri"/>
                <w:b/>
                <w:bCs/>
                <w:color w:val="FFFFFF"/>
                <w:lang w:val="es-MX" w:eastAsia="es-MX"/>
              </w:rPr>
            </w:pPr>
            <w:r w:rsidRPr="00865EF3">
              <w:rPr>
                <w:rFonts w:ascii="Montserrat" w:eastAsia="Times New Roman" w:hAnsi="Montserrat" w:cs="Calibri"/>
                <w:b/>
                <w:bCs/>
                <w:color w:val="FFFFFF"/>
                <w:lang w:val="es-MX" w:eastAsia="es-MX"/>
              </w:rPr>
              <w:t xml:space="preserve">Indicadores por tipo </w:t>
            </w:r>
            <w:proofErr w:type="gramStart"/>
            <w:r w:rsidRPr="00865EF3">
              <w:rPr>
                <w:rFonts w:ascii="Montserrat" w:eastAsia="Times New Roman" w:hAnsi="Montserrat" w:cs="Calibri"/>
                <w:b/>
                <w:bCs/>
                <w:color w:val="FFFFFF"/>
                <w:lang w:val="es-MX" w:eastAsia="es-MX"/>
              </w:rPr>
              <w:t>de  cumplimiento</w:t>
            </w:r>
            <w:proofErr w:type="gramEnd"/>
            <w:r w:rsidRPr="00865EF3">
              <w:rPr>
                <w:rFonts w:ascii="Montserrat" w:eastAsia="Times New Roman" w:hAnsi="Montserrat" w:cs="Calibri"/>
                <w:b/>
                <w:bCs/>
                <w:color w:val="FFFFFF"/>
                <w:lang w:val="es-MX" w:eastAsia="es-MX"/>
              </w:rPr>
              <w:t xml:space="preserve"> de la meta</w:t>
            </w:r>
          </w:p>
        </w:tc>
        <w:tc>
          <w:tcPr>
            <w:tcW w:w="1897" w:type="dxa"/>
            <w:vMerge w:val="restart"/>
            <w:tcBorders>
              <w:top w:val="single" w:sz="8" w:space="0" w:color="auto"/>
              <w:left w:val="nil"/>
              <w:bottom w:val="single" w:sz="8" w:space="0" w:color="000000"/>
              <w:right w:val="nil"/>
            </w:tcBorders>
            <w:shd w:val="clear" w:color="000000" w:fill="16365C"/>
            <w:noWrap/>
            <w:vAlign w:val="center"/>
            <w:hideMark/>
          </w:tcPr>
          <w:p w14:paraId="42325272" w14:textId="77777777" w:rsidR="00D82BD6" w:rsidRPr="00865EF3" w:rsidRDefault="00D82BD6" w:rsidP="00D82BD6">
            <w:pPr>
              <w:jc w:val="center"/>
              <w:rPr>
                <w:rFonts w:ascii="Montserrat" w:eastAsia="Times New Roman" w:hAnsi="Montserrat" w:cs="Calibri"/>
                <w:b/>
                <w:bCs/>
                <w:color w:val="FFFFFF"/>
                <w:lang w:val="es-MX" w:eastAsia="es-MX"/>
              </w:rPr>
            </w:pPr>
            <w:r w:rsidRPr="00865EF3">
              <w:rPr>
                <w:rFonts w:ascii="Montserrat" w:eastAsia="Times New Roman" w:hAnsi="Montserrat" w:cs="Calibri"/>
                <w:b/>
                <w:bCs/>
                <w:color w:val="FFFFFF"/>
                <w:lang w:val="es-MX" w:eastAsia="es-MX"/>
              </w:rPr>
              <w:t>Total</w:t>
            </w:r>
          </w:p>
        </w:tc>
      </w:tr>
      <w:tr w:rsidR="00D82BD6" w:rsidRPr="00D41E52" w14:paraId="49DD06A9" w14:textId="77777777" w:rsidTr="00D82BD6">
        <w:trPr>
          <w:trHeight w:val="312"/>
        </w:trPr>
        <w:tc>
          <w:tcPr>
            <w:tcW w:w="3294" w:type="dxa"/>
            <w:vMerge/>
            <w:tcBorders>
              <w:top w:val="single" w:sz="8" w:space="0" w:color="auto"/>
              <w:left w:val="nil"/>
              <w:bottom w:val="single" w:sz="8" w:space="0" w:color="000000"/>
              <w:right w:val="nil"/>
            </w:tcBorders>
            <w:vAlign w:val="center"/>
            <w:hideMark/>
          </w:tcPr>
          <w:p w14:paraId="3183068F" w14:textId="77777777" w:rsidR="00D82BD6" w:rsidRPr="00865EF3" w:rsidRDefault="00D82BD6" w:rsidP="00D82BD6">
            <w:pPr>
              <w:rPr>
                <w:rFonts w:ascii="Montserrat" w:eastAsia="Times New Roman" w:hAnsi="Montserrat" w:cs="Calibri"/>
                <w:b/>
                <w:bCs/>
                <w:color w:val="FFFFFF"/>
                <w:lang w:val="es-MX" w:eastAsia="es-MX"/>
              </w:rPr>
            </w:pPr>
          </w:p>
        </w:tc>
        <w:tc>
          <w:tcPr>
            <w:tcW w:w="1761" w:type="dxa"/>
            <w:tcBorders>
              <w:top w:val="nil"/>
              <w:left w:val="nil"/>
              <w:bottom w:val="single" w:sz="8" w:space="0" w:color="auto"/>
              <w:right w:val="nil"/>
            </w:tcBorders>
            <w:shd w:val="clear" w:color="000000" w:fill="16365C"/>
            <w:vAlign w:val="center"/>
            <w:hideMark/>
          </w:tcPr>
          <w:p w14:paraId="0A9F60E3" w14:textId="77777777" w:rsidR="00D82BD6" w:rsidRPr="00865EF3" w:rsidRDefault="00D82BD6" w:rsidP="00D82BD6">
            <w:pPr>
              <w:jc w:val="center"/>
              <w:rPr>
                <w:rFonts w:ascii="Montserrat" w:eastAsia="Times New Roman" w:hAnsi="Montserrat" w:cs="Calibri"/>
                <w:b/>
                <w:bCs/>
                <w:color w:val="FFFFFF"/>
                <w:lang w:val="es-MX" w:eastAsia="es-MX"/>
              </w:rPr>
            </w:pPr>
            <w:r w:rsidRPr="00865EF3">
              <w:rPr>
                <w:rFonts w:ascii="Montserrat" w:eastAsia="Times New Roman" w:hAnsi="Montserrat" w:cs="Calibri"/>
                <w:b/>
                <w:bCs/>
                <w:color w:val="FFFFFF"/>
                <w:lang w:val="es-MX" w:eastAsia="es-MX"/>
              </w:rPr>
              <w:t>Indicadores menores al 80%</w:t>
            </w:r>
          </w:p>
        </w:tc>
        <w:tc>
          <w:tcPr>
            <w:tcW w:w="1704" w:type="dxa"/>
            <w:tcBorders>
              <w:top w:val="nil"/>
              <w:left w:val="nil"/>
              <w:bottom w:val="single" w:sz="8" w:space="0" w:color="auto"/>
              <w:right w:val="nil"/>
            </w:tcBorders>
            <w:shd w:val="clear" w:color="000000" w:fill="16365C"/>
            <w:vAlign w:val="center"/>
            <w:hideMark/>
          </w:tcPr>
          <w:p w14:paraId="1F549C24" w14:textId="77777777" w:rsidR="00D82BD6" w:rsidRPr="00865EF3" w:rsidRDefault="00D82BD6" w:rsidP="00D82BD6">
            <w:pPr>
              <w:jc w:val="center"/>
              <w:rPr>
                <w:rFonts w:ascii="Montserrat" w:eastAsia="Times New Roman" w:hAnsi="Montserrat" w:cs="Calibri"/>
                <w:b/>
                <w:bCs/>
                <w:color w:val="FFFFFF"/>
                <w:lang w:val="es-MX" w:eastAsia="es-MX"/>
              </w:rPr>
            </w:pPr>
            <w:r w:rsidRPr="00865EF3">
              <w:rPr>
                <w:rFonts w:ascii="Montserrat" w:eastAsia="Times New Roman" w:hAnsi="Montserrat" w:cs="Calibri"/>
                <w:b/>
                <w:bCs/>
                <w:color w:val="FFFFFF"/>
                <w:lang w:val="es-MX" w:eastAsia="es-MX"/>
              </w:rPr>
              <w:t>Indicadores entre 80% y 115%</w:t>
            </w:r>
          </w:p>
        </w:tc>
        <w:tc>
          <w:tcPr>
            <w:tcW w:w="1431" w:type="dxa"/>
            <w:tcBorders>
              <w:top w:val="nil"/>
              <w:left w:val="nil"/>
              <w:bottom w:val="single" w:sz="8" w:space="0" w:color="auto"/>
              <w:right w:val="nil"/>
            </w:tcBorders>
            <w:shd w:val="clear" w:color="000000" w:fill="16365C"/>
            <w:vAlign w:val="center"/>
            <w:hideMark/>
          </w:tcPr>
          <w:p w14:paraId="0BF6C2FC" w14:textId="77777777" w:rsidR="00D82BD6" w:rsidRPr="00865EF3" w:rsidRDefault="00D82BD6" w:rsidP="00D82BD6">
            <w:pPr>
              <w:jc w:val="center"/>
              <w:rPr>
                <w:rFonts w:ascii="Montserrat" w:eastAsia="Times New Roman" w:hAnsi="Montserrat" w:cs="Calibri"/>
                <w:b/>
                <w:bCs/>
                <w:color w:val="FFFFFF"/>
                <w:lang w:val="es-MX" w:eastAsia="es-MX"/>
              </w:rPr>
            </w:pPr>
            <w:r w:rsidRPr="00865EF3">
              <w:rPr>
                <w:rFonts w:ascii="Montserrat" w:eastAsia="Times New Roman" w:hAnsi="Montserrat" w:cs="Calibri"/>
                <w:b/>
                <w:bCs/>
                <w:color w:val="FFFFFF"/>
                <w:lang w:val="es-MX" w:eastAsia="es-MX"/>
              </w:rPr>
              <w:t>Indicadores mayores al 115%</w:t>
            </w:r>
          </w:p>
        </w:tc>
        <w:tc>
          <w:tcPr>
            <w:tcW w:w="1897" w:type="dxa"/>
            <w:vMerge/>
            <w:tcBorders>
              <w:top w:val="single" w:sz="8" w:space="0" w:color="auto"/>
              <w:left w:val="nil"/>
              <w:bottom w:val="single" w:sz="8" w:space="0" w:color="000000"/>
              <w:right w:val="nil"/>
            </w:tcBorders>
            <w:vAlign w:val="center"/>
            <w:hideMark/>
          </w:tcPr>
          <w:p w14:paraId="14A2EFFA" w14:textId="77777777" w:rsidR="00D82BD6" w:rsidRPr="00865EF3" w:rsidRDefault="00D82BD6" w:rsidP="00D82BD6">
            <w:pPr>
              <w:rPr>
                <w:rFonts w:ascii="Montserrat" w:eastAsia="Times New Roman" w:hAnsi="Montserrat" w:cs="Calibri"/>
                <w:b/>
                <w:bCs/>
                <w:color w:val="FFFFFF"/>
                <w:lang w:val="es-MX" w:eastAsia="es-MX"/>
              </w:rPr>
            </w:pPr>
          </w:p>
        </w:tc>
      </w:tr>
      <w:tr w:rsidR="00D82BD6" w:rsidRPr="00D41E52" w14:paraId="31D357FA" w14:textId="77777777" w:rsidTr="00D82BD6">
        <w:trPr>
          <w:trHeight w:val="334"/>
        </w:trPr>
        <w:tc>
          <w:tcPr>
            <w:tcW w:w="3294" w:type="dxa"/>
            <w:tcBorders>
              <w:top w:val="nil"/>
              <w:left w:val="nil"/>
              <w:bottom w:val="nil"/>
              <w:right w:val="nil"/>
            </w:tcBorders>
            <w:shd w:val="clear" w:color="000000" w:fill="FFFFFF"/>
            <w:vAlign w:val="center"/>
            <w:hideMark/>
          </w:tcPr>
          <w:p w14:paraId="3F556E1E" w14:textId="77777777" w:rsidR="00D82BD6" w:rsidRPr="00865EF3" w:rsidRDefault="00D82BD6" w:rsidP="00D82BD6">
            <w:pPr>
              <w:rPr>
                <w:rFonts w:ascii="Montserrat" w:eastAsia="Times New Roman" w:hAnsi="Montserrat" w:cs="Calibri"/>
                <w:color w:val="000000"/>
                <w:lang w:val="es-MX" w:eastAsia="es-MX"/>
              </w:rPr>
            </w:pPr>
            <w:r w:rsidRPr="00865EF3">
              <w:rPr>
                <w:rFonts w:ascii="Montserrat" w:eastAsia="Times New Roman" w:hAnsi="Montserrat" w:cs="Calibri"/>
                <w:b/>
                <w:bCs/>
                <w:color w:val="000000"/>
                <w:lang w:val="es-MX" w:eastAsia="es-MX"/>
              </w:rPr>
              <w:t>F003</w:t>
            </w:r>
            <w:r w:rsidRPr="00865EF3">
              <w:rPr>
                <w:rFonts w:ascii="Montserrat" w:eastAsia="Times New Roman" w:hAnsi="Montserrat" w:cs="Calibri"/>
                <w:color w:val="000000"/>
                <w:lang w:val="es-MX" w:eastAsia="es-MX"/>
              </w:rPr>
              <w:t>: Programas nacionales estratégicos de ciencia, tecnología y vinculación con el sector social, público y privado</w:t>
            </w:r>
          </w:p>
        </w:tc>
        <w:tc>
          <w:tcPr>
            <w:tcW w:w="1761" w:type="dxa"/>
            <w:tcBorders>
              <w:top w:val="nil"/>
              <w:left w:val="nil"/>
              <w:bottom w:val="nil"/>
              <w:right w:val="nil"/>
            </w:tcBorders>
            <w:shd w:val="clear" w:color="000000" w:fill="FFFFFF"/>
            <w:noWrap/>
            <w:vAlign w:val="center"/>
            <w:hideMark/>
          </w:tcPr>
          <w:p w14:paraId="4B6E3DE1"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2</w:t>
            </w:r>
          </w:p>
        </w:tc>
        <w:tc>
          <w:tcPr>
            <w:tcW w:w="1704" w:type="dxa"/>
            <w:tcBorders>
              <w:top w:val="nil"/>
              <w:left w:val="nil"/>
              <w:bottom w:val="nil"/>
              <w:right w:val="nil"/>
            </w:tcBorders>
            <w:shd w:val="clear" w:color="000000" w:fill="FFFFFF"/>
            <w:noWrap/>
            <w:vAlign w:val="center"/>
            <w:hideMark/>
          </w:tcPr>
          <w:p w14:paraId="5F48B76E"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2</w:t>
            </w:r>
          </w:p>
        </w:tc>
        <w:tc>
          <w:tcPr>
            <w:tcW w:w="1431" w:type="dxa"/>
            <w:tcBorders>
              <w:top w:val="nil"/>
              <w:left w:val="nil"/>
              <w:bottom w:val="nil"/>
              <w:right w:val="nil"/>
            </w:tcBorders>
            <w:shd w:val="clear" w:color="000000" w:fill="FFFFFF"/>
            <w:noWrap/>
            <w:vAlign w:val="center"/>
            <w:hideMark/>
          </w:tcPr>
          <w:p w14:paraId="03B1D6E0"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 </w:t>
            </w:r>
          </w:p>
        </w:tc>
        <w:tc>
          <w:tcPr>
            <w:tcW w:w="1897" w:type="dxa"/>
            <w:tcBorders>
              <w:top w:val="nil"/>
              <w:left w:val="nil"/>
              <w:bottom w:val="nil"/>
              <w:right w:val="nil"/>
            </w:tcBorders>
            <w:shd w:val="clear" w:color="000000" w:fill="FFFFFF"/>
            <w:noWrap/>
            <w:vAlign w:val="center"/>
            <w:hideMark/>
          </w:tcPr>
          <w:p w14:paraId="588CEFAB"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4</w:t>
            </w:r>
          </w:p>
        </w:tc>
      </w:tr>
      <w:tr w:rsidR="00D82BD6" w:rsidRPr="00D41E52" w14:paraId="6A6D8F2F" w14:textId="77777777" w:rsidTr="00D82BD6">
        <w:trPr>
          <w:trHeight w:val="334"/>
        </w:trPr>
        <w:tc>
          <w:tcPr>
            <w:tcW w:w="3294" w:type="dxa"/>
            <w:tcBorders>
              <w:top w:val="nil"/>
              <w:left w:val="nil"/>
              <w:bottom w:val="nil"/>
              <w:right w:val="nil"/>
            </w:tcBorders>
            <w:shd w:val="clear" w:color="000000" w:fill="FFFFFF"/>
            <w:vAlign w:val="center"/>
            <w:hideMark/>
          </w:tcPr>
          <w:p w14:paraId="13E2D808" w14:textId="77777777" w:rsidR="00D82BD6" w:rsidRPr="00865EF3" w:rsidRDefault="00D82BD6" w:rsidP="00D82BD6">
            <w:pPr>
              <w:rPr>
                <w:rFonts w:ascii="Montserrat" w:eastAsia="Times New Roman" w:hAnsi="Montserrat" w:cs="Calibri"/>
                <w:color w:val="000000"/>
                <w:lang w:val="es-MX" w:eastAsia="es-MX"/>
              </w:rPr>
            </w:pPr>
            <w:r w:rsidRPr="00865EF3">
              <w:rPr>
                <w:rFonts w:ascii="Montserrat" w:eastAsia="Times New Roman" w:hAnsi="Montserrat" w:cs="Calibri"/>
                <w:b/>
                <w:bCs/>
                <w:color w:val="000000"/>
                <w:lang w:val="es-MX" w:eastAsia="es-MX"/>
              </w:rPr>
              <w:t>S190:</w:t>
            </w:r>
            <w:r w:rsidRPr="00865EF3">
              <w:rPr>
                <w:rFonts w:ascii="Montserrat" w:eastAsia="Times New Roman" w:hAnsi="Montserrat" w:cs="Calibri"/>
                <w:color w:val="000000"/>
                <w:lang w:val="es-MX" w:eastAsia="es-MX"/>
              </w:rPr>
              <w:t xml:space="preserve"> Becas de posgrado y apoyos a la calidad</w:t>
            </w:r>
          </w:p>
        </w:tc>
        <w:tc>
          <w:tcPr>
            <w:tcW w:w="1761" w:type="dxa"/>
            <w:tcBorders>
              <w:top w:val="nil"/>
              <w:left w:val="nil"/>
              <w:bottom w:val="nil"/>
              <w:right w:val="nil"/>
            </w:tcBorders>
            <w:shd w:val="clear" w:color="000000" w:fill="FFFFFF"/>
            <w:noWrap/>
            <w:vAlign w:val="center"/>
            <w:hideMark/>
          </w:tcPr>
          <w:p w14:paraId="008665F4"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 </w:t>
            </w:r>
          </w:p>
        </w:tc>
        <w:tc>
          <w:tcPr>
            <w:tcW w:w="1704" w:type="dxa"/>
            <w:tcBorders>
              <w:top w:val="nil"/>
              <w:left w:val="nil"/>
              <w:bottom w:val="nil"/>
              <w:right w:val="nil"/>
            </w:tcBorders>
            <w:shd w:val="clear" w:color="000000" w:fill="FFFFFF"/>
            <w:noWrap/>
            <w:vAlign w:val="center"/>
            <w:hideMark/>
          </w:tcPr>
          <w:p w14:paraId="3F01FA36"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2</w:t>
            </w:r>
          </w:p>
        </w:tc>
        <w:tc>
          <w:tcPr>
            <w:tcW w:w="1431" w:type="dxa"/>
            <w:tcBorders>
              <w:top w:val="nil"/>
              <w:left w:val="nil"/>
              <w:bottom w:val="nil"/>
              <w:right w:val="nil"/>
            </w:tcBorders>
            <w:shd w:val="clear" w:color="000000" w:fill="FFFFFF"/>
            <w:noWrap/>
            <w:vAlign w:val="center"/>
            <w:hideMark/>
          </w:tcPr>
          <w:p w14:paraId="49E8C8C7"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1</w:t>
            </w:r>
          </w:p>
        </w:tc>
        <w:tc>
          <w:tcPr>
            <w:tcW w:w="1897" w:type="dxa"/>
            <w:tcBorders>
              <w:top w:val="nil"/>
              <w:left w:val="nil"/>
              <w:bottom w:val="nil"/>
              <w:right w:val="nil"/>
            </w:tcBorders>
            <w:shd w:val="clear" w:color="000000" w:fill="FFFFFF"/>
            <w:noWrap/>
            <w:vAlign w:val="center"/>
            <w:hideMark/>
          </w:tcPr>
          <w:p w14:paraId="026B5376"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3</w:t>
            </w:r>
          </w:p>
        </w:tc>
      </w:tr>
      <w:tr w:rsidR="00D82BD6" w:rsidRPr="00D41E52" w14:paraId="7E09C43D" w14:textId="77777777" w:rsidTr="00D82BD6">
        <w:trPr>
          <w:trHeight w:val="334"/>
        </w:trPr>
        <w:tc>
          <w:tcPr>
            <w:tcW w:w="3294" w:type="dxa"/>
            <w:tcBorders>
              <w:top w:val="nil"/>
              <w:left w:val="nil"/>
              <w:bottom w:val="nil"/>
              <w:right w:val="nil"/>
            </w:tcBorders>
            <w:shd w:val="clear" w:color="000000" w:fill="FFFFFF"/>
            <w:vAlign w:val="center"/>
            <w:hideMark/>
          </w:tcPr>
          <w:p w14:paraId="081AFC8F" w14:textId="77777777" w:rsidR="00D82BD6" w:rsidRPr="00865EF3" w:rsidRDefault="00D82BD6" w:rsidP="00D82BD6">
            <w:pPr>
              <w:rPr>
                <w:rFonts w:ascii="Montserrat" w:eastAsia="Times New Roman" w:hAnsi="Montserrat" w:cs="Calibri"/>
                <w:color w:val="000000"/>
                <w:lang w:val="es-MX" w:eastAsia="es-MX"/>
              </w:rPr>
            </w:pPr>
            <w:r w:rsidRPr="00865EF3">
              <w:rPr>
                <w:rFonts w:ascii="Montserrat" w:eastAsia="Times New Roman" w:hAnsi="Montserrat" w:cs="Calibri"/>
                <w:b/>
                <w:bCs/>
                <w:color w:val="000000"/>
                <w:lang w:val="es-MX" w:eastAsia="es-MX"/>
              </w:rPr>
              <w:t>S191</w:t>
            </w:r>
            <w:r w:rsidRPr="00865EF3">
              <w:rPr>
                <w:rFonts w:ascii="Montserrat" w:eastAsia="Times New Roman" w:hAnsi="Montserrat" w:cs="Calibri"/>
                <w:color w:val="000000"/>
                <w:lang w:val="es-MX" w:eastAsia="es-MX"/>
              </w:rPr>
              <w:t>: Sistema Nacional de Investigadores</w:t>
            </w:r>
          </w:p>
        </w:tc>
        <w:tc>
          <w:tcPr>
            <w:tcW w:w="1761" w:type="dxa"/>
            <w:tcBorders>
              <w:top w:val="nil"/>
              <w:left w:val="nil"/>
              <w:bottom w:val="nil"/>
              <w:right w:val="nil"/>
            </w:tcBorders>
            <w:shd w:val="clear" w:color="000000" w:fill="FFFFFF"/>
            <w:noWrap/>
            <w:vAlign w:val="center"/>
            <w:hideMark/>
          </w:tcPr>
          <w:p w14:paraId="0E57B572"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 </w:t>
            </w:r>
          </w:p>
        </w:tc>
        <w:tc>
          <w:tcPr>
            <w:tcW w:w="1704" w:type="dxa"/>
            <w:tcBorders>
              <w:top w:val="nil"/>
              <w:left w:val="nil"/>
              <w:bottom w:val="nil"/>
              <w:right w:val="nil"/>
            </w:tcBorders>
            <w:shd w:val="clear" w:color="000000" w:fill="FFFFFF"/>
            <w:noWrap/>
            <w:vAlign w:val="center"/>
            <w:hideMark/>
          </w:tcPr>
          <w:p w14:paraId="55D8926E"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4</w:t>
            </w:r>
          </w:p>
        </w:tc>
        <w:tc>
          <w:tcPr>
            <w:tcW w:w="1431" w:type="dxa"/>
            <w:tcBorders>
              <w:top w:val="nil"/>
              <w:left w:val="nil"/>
              <w:bottom w:val="nil"/>
              <w:right w:val="nil"/>
            </w:tcBorders>
            <w:shd w:val="clear" w:color="000000" w:fill="FFFFFF"/>
            <w:noWrap/>
            <w:vAlign w:val="center"/>
            <w:hideMark/>
          </w:tcPr>
          <w:p w14:paraId="707672C1"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1</w:t>
            </w:r>
          </w:p>
        </w:tc>
        <w:tc>
          <w:tcPr>
            <w:tcW w:w="1897" w:type="dxa"/>
            <w:tcBorders>
              <w:top w:val="nil"/>
              <w:left w:val="nil"/>
              <w:bottom w:val="nil"/>
              <w:right w:val="nil"/>
            </w:tcBorders>
            <w:shd w:val="clear" w:color="000000" w:fill="FFFFFF"/>
            <w:noWrap/>
            <w:vAlign w:val="center"/>
            <w:hideMark/>
          </w:tcPr>
          <w:p w14:paraId="0B1D4C6E"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5</w:t>
            </w:r>
          </w:p>
        </w:tc>
      </w:tr>
      <w:tr w:rsidR="00D82BD6" w:rsidRPr="00D41E52" w14:paraId="46BC8618" w14:textId="77777777" w:rsidTr="00D82BD6">
        <w:trPr>
          <w:trHeight w:val="334"/>
        </w:trPr>
        <w:tc>
          <w:tcPr>
            <w:tcW w:w="3294" w:type="dxa"/>
            <w:tcBorders>
              <w:top w:val="nil"/>
              <w:left w:val="nil"/>
              <w:bottom w:val="nil"/>
              <w:right w:val="nil"/>
            </w:tcBorders>
            <w:shd w:val="clear" w:color="000000" w:fill="FFFFFF"/>
            <w:vAlign w:val="center"/>
            <w:hideMark/>
          </w:tcPr>
          <w:p w14:paraId="57BA65C6" w14:textId="77777777" w:rsidR="00D82BD6" w:rsidRPr="00865EF3" w:rsidRDefault="00D82BD6" w:rsidP="00D82BD6">
            <w:pPr>
              <w:rPr>
                <w:rFonts w:ascii="Montserrat" w:eastAsia="Times New Roman" w:hAnsi="Montserrat" w:cs="Calibri"/>
                <w:color w:val="000000"/>
                <w:lang w:val="es-MX" w:eastAsia="es-MX"/>
              </w:rPr>
            </w:pPr>
            <w:r w:rsidRPr="00865EF3">
              <w:rPr>
                <w:rFonts w:ascii="Montserrat" w:eastAsia="Times New Roman" w:hAnsi="Montserrat" w:cs="Calibri"/>
                <w:b/>
                <w:bCs/>
                <w:color w:val="000000"/>
                <w:lang w:val="es-MX" w:eastAsia="es-MX"/>
              </w:rPr>
              <w:t>P001</w:t>
            </w:r>
            <w:r w:rsidRPr="00865EF3">
              <w:rPr>
                <w:rFonts w:ascii="Montserrat" w:eastAsia="Times New Roman" w:hAnsi="Montserrat" w:cs="Calibri"/>
                <w:color w:val="000000"/>
                <w:lang w:val="es-MX" w:eastAsia="es-MX"/>
              </w:rPr>
              <w:t>: Diseño y evaluación de políticas en ciencia, tecnología e innovación</w:t>
            </w:r>
          </w:p>
        </w:tc>
        <w:tc>
          <w:tcPr>
            <w:tcW w:w="1761" w:type="dxa"/>
            <w:tcBorders>
              <w:top w:val="nil"/>
              <w:left w:val="nil"/>
              <w:bottom w:val="nil"/>
              <w:right w:val="nil"/>
            </w:tcBorders>
            <w:shd w:val="clear" w:color="000000" w:fill="FFFFFF"/>
            <w:noWrap/>
            <w:vAlign w:val="center"/>
            <w:hideMark/>
          </w:tcPr>
          <w:p w14:paraId="24DF4276"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 </w:t>
            </w:r>
          </w:p>
        </w:tc>
        <w:tc>
          <w:tcPr>
            <w:tcW w:w="1704" w:type="dxa"/>
            <w:tcBorders>
              <w:top w:val="nil"/>
              <w:left w:val="nil"/>
              <w:bottom w:val="nil"/>
              <w:right w:val="nil"/>
            </w:tcBorders>
            <w:shd w:val="clear" w:color="000000" w:fill="FFFFFF"/>
            <w:noWrap/>
            <w:vAlign w:val="center"/>
            <w:hideMark/>
          </w:tcPr>
          <w:p w14:paraId="24056111"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1</w:t>
            </w:r>
          </w:p>
        </w:tc>
        <w:tc>
          <w:tcPr>
            <w:tcW w:w="1431" w:type="dxa"/>
            <w:tcBorders>
              <w:top w:val="nil"/>
              <w:left w:val="nil"/>
              <w:bottom w:val="nil"/>
              <w:right w:val="nil"/>
            </w:tcBorders>
            <w:shd w:val="clear" w:color="000000" w:fill="FFFFFF"/>
            <w:noWrap/>
            <w:vAlign w:val="center"/>
            <w:hideMark/>
          </w:tcPr>
          <w:p w14:paraId="7D69857D"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 </w:t>
            </w:r>
          </w:p>
        </w:tc>
        <w:tc>
          <w:tcPr>
            <w:tcW w:w="1897" w:type="dxa"/>
            <w:tcBorders>
              <w:top w:val="nil"/>
              <w:left w:val="nil"/>
              <w:bottom w:val="nil"/>
              <w:right w:val="nil"/>
            </w:tcBorders>
            <w:shd w:val="clear" w:color="000000" w:fill="FFFFFF"/>
            <w:noWrap/>
            <w:vAlign w:val="center"/>
            <w:hideMark/>
          </w:tcPr>
          <w:p w14:paraId="54331514"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1</w:t>
            </w:r>
          </w:p>
        </w:tc>
      </w:tr>
      <w:tr w:rsidR="00D82BD6" w:rsidRPr="00D41E52" w14:paraId="1872DD78" w14:textId="77777777" w:rsidTr="00D82BD6">
        <w:trPr>
          <w:trHeight w:val="152"/>
        </w:trPr>
        <w:tc>
          <w:tcPr>
            <w:tcW w:w="3294" w:type="dxa"/>
            <w:tcBorders>
              <w:top w:val="single" w:sz="4" w:space="0" w:color="auto"/>
              <w:left w:val="nil"/>
              <w:bottom w:val="single" w:sz="4" w:space="0" w:color="auto"/>
              <w:right w:val="nil"/>
            </w:tcBorders>
            <w:shd w:val="clear" w:color="000000" w:fill="FFFFFF"/>
            <w:noWrap/>
            <w:vAlign w:val="bottom"/>
            <w:hideMark/>
          </w:tcPr>
          <w:p w14:paraId="49711ACA" w14:textId="77777777" w:rsidR="00D82BD6" w:rsidRPr="00865EF3" w:rsidRDefault="00D82BD6" w:rsidP="00D82BD6">
            <w:pP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Total</w:t>
            </w:r>
          </w:p>
        </w:tc>
        <w:tc>
          <w:tcPr>
            <w:tcW w:w="1761" w:type="dxa"/>
            <w:tcBorders>
              <w:top w:val="single" w:sz="4" w:space="0" w:color="auto"/>
              <w:left w:val="nil"/>
              <w:bottom w:val="single" w:sz="4" w:space="0" w:color="auto"/>
              <w:right w:val="nil"/>
            </w:tcBorders>
            <w:shd w:val="clear" w:color="000000" w:fill="FFFFFF"/>
            <w:noWrap/>
            <w:vAlign w:val="bottom"/>
            <w:hideMark/>
          </w:tcPr>
          <w:p w14:paraId="131D8995"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2</w:t>
            </w:r>
          </w:p>
        </w:tc>
        <w:tc>
          <w:tcPr>
            <w:tcW w:w="1704" w:type="dxa"/>
            <w:tcBorders>
              <w:top w:val="single" w:sz="4" w:space="0" w:color="auto"/>
              <w:left w:val="nil"/>
              <w:bottom w:val="single" w:sz="4" w:space="0" w:color="auto"/>
              <w:right w:val="nil"/>
            </w:tcBorders>
            <w:shd w:val="clear" w:color="000000" w:fill="FFFFFF"/>
            <w:noWrap/>
            <w:vAlign w:val="bottom"/>
            <w:hideMark/>
          </w:tcPr>
          <w:p w14:paraId="6F33D691"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9</w:t>
            </w:r>
          </w:p>
        </w:tc>
        <w:tc>
          <w:tcPr>
            <w:tcW w:w="1431" w:type="dxa"/>
            <w:tcBorders>
              <w:top w:val="single" w:sz="4" w:space="0" w:color="auto"/>
              <w:left w:val="nil"/>
              <w:bottom w:val="single" w:sz="4" w:space="0" w:color="auto"/>
              <w:right w:val="nil"/>
            </w:tcBorders>
            <w:shd w:val="clear" w:color="000000" w:fill="FFFFFF"/>
            <w:noWrap/>
            <w:vAlign w:val="bottom"/>
            <w:hideMark/>
          </w:tcPr>
          <w:p w14:paraId="32BB76C8"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2</w:t>
            </w:r>
          </w:p>
        </w:tc>
        <w:tc>
          <w:tcPr>
            <w:tcW w:w="1897" w:type="dxa"/>
            <w:tcBorders>
              <w:top w:val="single" w:sz="4" w:space="0" w:color="auto"/>
              <w:left w:val="nil"/>
              <w:bottom w:val="single" w:sz="4" w:space="0" w:color="auto"/>
              <w:right w:val="nil"/>
            </w:tcBorders>
            <w:shd w:val="clear" w:color="000000" w:fill="FFFFFF"/>
            <w:noWrap/>
            <w:vAlign w:val="bottom"/>
            <w:hideMark/>
          </w:tcPr>
          <w:p w14:paraId="5CC8A51B"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13</w:t>
            </w:r>
          </w:p>
        </w:tc>
      </w:tr>
    </w:tbl>
    <w:p w14:paraId="41BAD762" w14:textId="2B5A2594" w:rsidR="00D84350" w:rsidRPr="00865EF3" w:rsidRDefault="00D84350" w:rsidP="00D84350">
      <w:pPr>
        <w:jc w:val="both"/>
        <w:rPr>
          <w:rFonts w:ascii="Montserrat" w:hAnsi="Montserrat"/>
        </w:rPr>
      </w:pPr>
    </w:p>
    <w:tbl>
      <w:tblPr>
        <w:tblW w:w="9998" w:type="dxa"/>
        <w:tblCellMar>
          <w:left w:w="70" w:type="dxa"/>
          <w:right w:w="70" w:type="dxa"/>
        </w:tblCellMar>
        <w:tblLook w:val="04A0" w:firstRow="1" w:lastRow="0" w:firstColumn="1" w:lastColumn="0" w:noHBand="0" w:noVBand="1"/>
      </w:tblPr>
      <w:tblGrid>
        <w:gridCol w:w="3265"/>
        <w:gridCol w:w="1745"/>
        <w:gridCol w:w="1689"/>
        <w:gridCol w:w="1619"/>
        <w:gridCol w:w="1880"/>
      </w:tblGrid>
      <w:tr w:rsidR="00D82BD6" w:rsidRPr="00D41E52" w14:paraId="1BCF695B" w14:textId="77777777" w:rsidTr="00D82BD6">
        <w:trPr>
          <w:trHeight w:val="213"/>
        </w:trPr>
        <w:tc>
          <w:tcPr>
            <w:tcW w:w="9998" w:type="dxa"/>
            <w:gridSpan w:val="5"/>
            <w:tcBorders>
              <w:top w:val="nil"/>
              <w:left w:val="nil"/>
              <w:bottom w:val="nil"/>
              <w:right w:val="nil"/>
            </w:tcBorders>
            <w:shd w:val="clear" w:color="000000" w:fill="FFFFFF"/>
            <w:vAlign w:val="center"/>
            <w:hideMark/>
          </w:tcPr>
          <w:p w14:paraId="174407D4" w14:textId="77777777" w:rsidR="00865EF3" w:rsidRDefault="00865EF3" w:rsidP="00D82BD6">
            <w:pPr>
              <w:jc w:val="center"/>
              <w:rPr>
                <w:rFonts w:ascii="Montserrat" w:eastAsia="Times New Roman" w:hAnsi="Montserrat" w:cs="Calibri"/>
                <w:b/>
                <w:bCs/>
                <w:color w:val="000000"/>
                <w:lang w:val="es-MX" w:eastAsia="es-MX"/>
              </w:rPr>
            </w:pPr>
          </w:p>
          <w:p w14:paraId="49A07679" w14:textId="77777777" w:rsidR="00865EF3" w:rsidRDefault="00865EF3" w:rsidP="00D82BD6">
            <w:pPr>
              <w:jc w:val="center"/>
              <w:rPr>
                <w:rFonts w:ascii="Montserrat" w:eastAsia="Times New Roman" w:hAnsi="Montserrat" w:cs="Calibri"/>
                <w:b/>
                <w:bCs/>
                <w:color w:val="000000"/>
                <w:lang w:val="es-MX" w:eastAsia="es-MX"/>
              </w:rPr>
            </w:pPr>
          </w:p>
          <w:p w14:paraId="5EA99A34" w14:textId="77777777" w:rsidR="00865EF3" w:rsidRDefault="00865EF3" w:rsidP="00D82BD6">
            <w:pPr>
              <w:jc w:val="center"/>
              <w:rPr>
                <w:rFonts w:ascii="Montserrat" w:eastAsia="Times New Roman" w:hAnsi="Montserrat" w:cs="Calibri"/>
                <w:b/>
                <w:bCs/>
                <w:color w:val="000000"/>
                <w:lang w:val="es-MX" w:eastAsia="es-MX"/>
              </w:rPr>
            </w:pPr>
          </w:p>
          <w:p w14:paraId="72D66A5A" w14:textId="77777777" w:rsidR="00865EF3" w:rsidRDefault="00865EF3" w:rsidP="00D82BD6">
            <w:pPr>
              <w:jc w:val="center"/>
              <w:rPr>
                <w:rFonts w:ascii="Montserrat" w:eastAsia="Times New Roman" w:hAnsi="Montserrat" w:cs="Calibri"/>
                <w:b/>
                <w:bCs/>
                <w:color w:val="000000"/>
                <w:lang w:val="es-MX" w:eastAsia="es-MX"/>
              </w:rPr>
            </w:pPr>
          </w:p>
          <w:p w14:paraId="6CC386E4" w14:textId="77777777" w:rsidR="00865EF3" w:rsidRDefault="00865EF3" w:rsidP="00D82BD6">
            <w:pPr>
              <w:jc w:val="center"/>
              <w:rPr>
                <w:rFonts w:ascii="Montserrat" w:eastAsia="Times New Roman" w:hAnsi="Montserrat" w:cs="Calibri"/>
                <w:b/>
                <w:bCs/>
                <w:color w:val="000000"/>
                <w:lang w:val="es-MX" w:eastAsia="es-MX"/>
              </w:rPr>
            </w:pPr>
            <w:bookmarkStart w:id="0" w:name="_GoBack"/>
            <w:bookmarkEnd w:id="0"/>
          </w:p>
          <w:p w14:paraId="01A46BFD" w14:textId="26BAF130"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lastRenderedPageBreak/>
              <w:t>Cuadro 2: Porcentaje de Cumplimiento de las metas al primer trimestre de 2023 de los Indicadores de las MIR del CONACYT</w:t>
            </w:r>
          </w:p>
        </w:tc>
      </w:tr>
      <w:tr w:rsidR="00D82BD6" w:rsidRPr="00D41E52" w14:paraId="1B629221" w14:textId="77777777" w:rsidTr="00D82BD6">
        <w:trPr>
          <w:trHeight w:val="220"/>
        </w:trPr>
        <w:tc>
          <w:tcPr>
            <w:tcW w:w="3265" w:type="dxa"/>
            <w:tcBorders>
              <w:top w:val="nil"/>
              <w:left w:val="nil"/>
              <w:bottom w:val="nil"/>
              <w:right w:val="nil"/>
            </w:tcBorders>
            <w:shd w:val="clear" w:color="000000" w:fill="FFFFFF"/>
            <w:vAlign w:val="center"/>
            <w:hideMark/>
          </w:tcPr>
          <w:p w14:paraId="7F09947C"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lastRenderedPageBreak/>
              <w:t> </w:t>
            </w:r>
          </w:p>
        </w:tc>
        <w:tc>
          <w:tcPr>
            <w:tcW w:w="1745" w:type="dxa"/>
            <w:tcBorders>
              <w:top w:val="nil"/>
              <w:left w:val="nil"/>
              <w:bottom w:val="nil"/>
              <w:right w:val="nil"/>
            </w:tcBorders>
            <w:shd w:val="clear" w:color="000000" w:fill="FFFFFF"/>
            <w:vAlign w:val="center"/>
            <w:hideMark/>
          </w:tcPr>
          <w:p w14:paraId="2D9248E1"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 </w:t>
            </w:r>
          </w:p>
        </w:tc>
        <w:tc>
          <w:tcPr>
            <w:tcW w:w="1689" w:type="dxa"/>
            <w:tcBorders>
              <w:top w:val="nil"/>
              <w:left w:val="nil"/>
              <w:bottom w:val="nil"/>
              <w:right w:val="nil"/>
            </w:tcBorders>
            <w:shd w:val="clear" w:color="000000" w:fill="FFFFFF"/>
            <w:vAlign w:val="center"/>
            <w:hideMark/>
          </w:tcPr>
          <w:p w14:paraId="6002AA4A"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 </w:t>
            </w:r>
          </w:p>
        </w:tc>
        <w:tc>
          <w:tcPr>
            <w:tcW w:w="1418" w:type="dxa"/>
            <w:tcBorders>
              <w:top w:val="nil"/>
              <w:left w:val="nil"/>
              <w:bottom w:val="nil"/>
              <w:right w:val="nil"/>
            </w:tcBorders>
            <w:shd w:val="clear" w:color="000000" w:fill="FFFFFF"/>
            <w:vAlign w:val="center"/>
            <w:hideMark/>
          </w:tcPr>
          <w:p w14:paraId="614BCED1"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 </w:t>
            </w:r>
          </w:p>
        </w:tc>
        <w:tc>
          <w:tcPr>
            <w:tcW w:w="1880" w:type="dxa"/>
            <w:tcBorders>
              <w:top w:val="nil"/>
              <w:left w:val="nil"/>
              <w:bottom w:val="nil"/>
              <w:right w:val="nil"/>
            </w:tcBorders>
            <w:shd w:val="clear" w:color="000000" w:fill="FFFFFF"/>
            <w:vAlign w:val="center"/>
            <w:hideMark/>
          </w:tcPr>
          <w:p w14:paraId="344A2462"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 </w:t>
            </w:r>
          </w:p>
        </w:tc>
      </w:tr>
      <w:tr w:rsidR="00D82BD6" w:rsidRPr="00D41E52" w14:paraId="3EF0463C" w14:textId="77777777" w:rsidTr="00D82BD6">
        <w:trPr>
          <w:trHeight w:val="149"/>
        </w:trPr>
        <w:tc>
          <w:tcPr>
            <w:tcW w:w="3265" w:type="dxa"/>
            <w:vMerge w:val="restart"/>
            <w:tcBorders>
              <w:top w:val="single" w:sz="8" w:space="0" w:color="auto"/>
              <w:left w:val="nil"/>
              <w:bottom w:val="single" w:sz="8" w:space="0" w:color="000000"/>
              <w:right w:val="nil"/>
            </w:tcBorders>
            <w:shd w:val="clear" w:color="000000" w:fill="16365C"/>
            <w:vAlign w:val="center"/>
            <w:hideMark/>
          </w:tcPr>
          <w:p w14:paraId="2F8CBD41" w14:textId="77777777" w:rsidR="00D82BD6" w:rsidRPr="00865EF3" w:rsidRDefault="00D82BD6" w:rsidP="00D82BD6">
            <w:pPr>
              <w:jc w:val="center"/>
              <w:rPr>
                <w:rFonts w:ascii="Montserrat" w:eastAsia="Times New Roman" w:hAnsi="Montserrat" w:cs="Calibri"/>
                <w:b/>
                <w:bCs/>
                <w:color w:val="FFFFFF"/>
                <w:lang w:val="es-MX" w:eastAsia="es-MX"/>
              </w:rPr>
            </w:pPr>
            <w:r w:rsidRPr="00865EF3">
              <w:rPr>
                <w:rFonts w:ascii="Montserrat" w:eastAsia="Times New Roman" w:hAnsi="Montserrat" w:cs="Calibri"/>
                <w:b/>
                <w:bCs/>
                <w:color w:val="FFFFFF"/>
                <w:lang w:val="es-MX" w:eastAsia="es-MX"/>
              </w:rPr>
              <w:t>Programa presupuestario (Modalidad y nombre)</w:t>
            </w:r>
          </w:p>
        </w:tc>
        <w:tc>
          <w:tcPr>
            <w:tcW w:w="4853" w:type="dxa"/>
            <w:gridSpan w:val="3"/>
            <w:tcBorders>
              <w:top w:val="single" w:sz="8" w:space="0" w:color="auto"/>
              <w:left w:val="nil"/>
              <w:bottom w:val="nil"/>
              <w:right w:val="nil"/>
            </w:tcBorders>
            <w:shd w:val="clear" w:color="000000" w:fill="16365C"/>
            <w:noWrap/>
            <w:vAlign w:val="center"/>
            <w:hideMark/>
          </w:tcPr>
          <w:p w14:paraId="4545221B" w14:textId="2C292BF3" w:rsidR="00D82BD6" w:rsidRPr="00865EF3" w:rsidRDefault="00D82BD6" w:rsidP="00D82BD6">
            <w:pPr>
              <w:jc w:val="center"/>
              <w:rPr>
                <w:rFonts w:ascii="Montserrat" w:eastAsia="Times New Roman" w:hAnsi="Montserrat" w:cs="Calibri"/>
                <w:b/>
                <w:bCs/>
                <w:color w:val="FFFFFF"/>
                <w:lang w:val="es-MX" w:eastAsia="es-MX"/>
              </w:rPr>
            </w:pPr>
            <w:r w:rsidRPr="00865EF3">
              <w:rPr>
                <w:rFonts w:ascii="Montserrat" w:eastAsia="Times New Roman" w:hAnsi="Montserrat" w:cs="Calibri"/>
                <w:b/>
                <w:bCs/>
                <w:color w:val="FFFFFF"/>
                <w:lang w:val="es-MX" w:eastAsia="es-MX"/>
              </w:rPr>
              <w:t xml:space="preserve">Indicadores por % </w:t>
            </w:r>
            <w:r w:rsidR="00D41E52" w:rsidRPr="00865EF3">
              <w:rPr>
                <w:rFonts w:ascii="Montserrat" w:eastAsia="Times New Roman" w:hAnsi="Montserrat" w:cs="Calibri"/>
                <w:b/>
                <w:bCs/>
                <w:color w:val="FFFFFF"/>
                <w:lang w:val="es-MX" w:eastAsia="es-MX"/>
              </w:rPr>
              <w:t>de cumplimiento</w:t>
            </w:r>
            <w:r w:rsidRPr="00865EF3">
              <w:rPr>
                <w:rFonts w:ascii="Montserrat" w:eastAsia="Times New Roman" w:hAnsi="Montserrat" w:cs="Calibri"/>
                <w:b/>
                <w:bCs/>
                <w:color w:val="FFFFFF"/>
                <w:lang w:val="es-MX" w:eastAsia="es-MX"/>
              </w:rPr>
              <w:t xml:space="preserve"> de la meta</w:t>
            </w:r>
          </w:p>
        </w:tc>
        <w:tc>
          <w:tcPr>
            <w:tcW w:w="1880" w:type="dxa"/>
            <w:vMerge w:val="restart"/>
            <w:tcBorders>
              <w:top w:val="single" w:sz="8" w:space="0" w:color="auto"/>
              <w:left w:val="nil"/>
              <w:bottom w:val="single" w:sz="8" w:space="0" w:color="000000"/>
              <w:right w:val="nil"/>
            </w:tcBorders>
            <w:shd w:val="clear" w:color="000000" w:fill="16365C"/>
            <w:noWrap/>
            <w:vAlign w:val="center"/>
            <w:hideMark/>
          </w:tcPr>
          <w:p w14:paraId="083A4831" w14:textId="77777777" w:rsidR="00D82BD6" w:rsidRPr="00865EF3" w:rsidRDefault="00D82BD6" w:rsidP="00D82BD6">
            <w:pPr>
              <w:jc w:val="center"/>
              <w:rPr>
                <w:rFonts w:ascii="Montserrat" w:eastAsia="Times New Roman" w:hAnsi="Montserrat" w:cs="Calibri"/>
                <w:b/>
                <w:bCs/>
                <w:color w:val="FFFFFF"/>
                <w:lang w:val="es-MX" w:eastAsia="es-MX"/>
              </w:rPr>
            </w:pPr>
            <w:r w:rsidRPr="00865EF3">
              <w:rPr>
                <w:rFonts w:ascii="Montserrat" w:eastAsia="Times New Roman" w:hAnsi="Montserrat" w:cs="Calibri"/>
                <w:b/>
                <w:bCs/>
                <w:color w:val="FFFFFF"/>
                <w:lang w:val="es-MX" w:eastAsia="es-MX"/>
              </w:rPr>
              <w:t>Total</w:t>
            </w:r>
          </w:p>
        </w:tc>
      </w:tr>
      <w:tr w:rsidR="00D82BD6" w:rsidRPr="00D41E52" w14:paraId="5656A141" w14:textId="77777777" w:rsidTr="00D82BD6">
        <w:trPr>
          <w:trHeight w:val="305"/>
        </w:trPr>
        <w:tc>
          <w:tcPr>
            <w:tcW w:w="3265" w:type="dxa"/>
            <w:vMerge/>
            <w:tcBorders>
              <w:top w:val="single" w:sz="8" w:space="0" w:color="auto"/>
              <w:left w:val="nil"/>
              <w:bottom w:val="single" w:sz="8" w:space="0" w:color="000000"/>
              <w:right w:val="nil"/>
            </w:tcBorders>
            <w:vAlign w:val="center"/>
            <w:hideMark/>
          </w:tcPr>
          <w:p w14:paraId="22C33BBF" w14:textId="77777777" w:rsidR="00D82BD6" w:rsidRPr="00865EF3" w:rsidRDefault="00D82BD6" w:rsidP="00D82BD6">
            <w:pPr>
              <w:rPr>
                <w:rFonts w:ascii="Montserrat" w:eastAsia="Times New Roman" w:hAnsi="Montserrat" w:cs="Calibri"/>
                <w:b/>
                <w:bCs/>
                <w:color w:val="FFFFFF"/>
                <w:lang w:val="es-MX" w:eastAsia="es-MX"/>
              </w:rPr>
            </w:pPr>
          </w:p>
        </w:tc>
        <w:tc>
          <w:tcPr>
            <w:tcW w:w="1745" w:type="dxa"/>
            <w:tcBorders>
              <w:top w:val="nil"/>
              <w:left w:val="nil"/>
              <w:bottom w:val="single" w:sz="8" w:space="0" w:color="auto"/>
              <w:right w:val="nil"/>
            </w:tcBorders>
            <w:shd w:val="clear" w:color="000000" w:fill="16365C"/>
            <w:vAlign w:val="center"/>
            <w:hideMark/>
          </w:tcPr>
          <w:p w14:paraId="36D7E0F5" w14:textId="77777777" w:rsidR="00D82BD6" w:rsidRPr="00865EF3" w:rsidRDefault="00D82BD6" w:rsidP="00D82BD6">
            <w:pPr>
              <w:jc w:val="center"/>
              <w:rPr>
                <w:rFonts w:ascii="Montserrat" w:eastAsia="Times New Roman" w:hAnsi="Montserrat" w:cs="Calibri"/>
                <w:b/>
                <w:bCs/>
                <w:color w:val="FFFFFF"/>
                <w:lang w:val="es-MX" w:eastAsia="es-MX"/>
              </w:rPr>
            </w:pPr>
            <w:r w:rsidRPr="00865EF3">
              <w:rPr>
                <w:rFonts w:ascii="Montserrat" w:eastAsia="Times New Roman" w:hAnsi="Montserrat" w:cs="Calibri"/>
                <w:b/>
                <w:bCs/>
                <w:color w:val="FFFFFF"/>
                <w:lang w:val="es-MX" w:eastAsia="es-MX"/>
              </w:rPr>
              <w:t>% Indicadores menores al 80%</w:t>
            </w:r>
          </w:p>
        </w:tc>
        <w:tc>
          <w:tcPr>
            <w:tcW w:w="1689" w:type="dxa"/>
            <w:tcBorders>
              <w:top w:val="nil"/>
              <w:left w:val="nil"/>
              <w:bottom w:val="single" w:sz="8" w:space="0" w:color="auto"/>
              <w:right w:val="nil"/>
            </w:tcBorders>
            <w:shd w:val="clear" w:color="000000" w:fill="16365C"/>
            <w:vAlign w:val="center"/>
            <w:hideMark/>
          </w:tcPr>
          <w:p w14:paraId="12DDF74A" w14:textId="77777777" w:rsidR="00D82BD6" w:rsidRPr="00865EF3" w:rsidRDefault="00D82BD6" w:rsidP="00D82BD6">
            <w:pPr>
              <w:jc w:val="center"/>
              <w:rPr>
                <w:rFonts w:ascii="Montserrat" w:eastAsia="Times New Roman" w:hAnsi="Montserrat" w:cs="Calibri"/>
                <w:b/>
                <w:bCs/>
                <w:color w:val="FFFFFF"/>
                <w:lang w:val="es-MX" w:eastAsia="es-MX"/>
              </w:rPr>
            </w:pPr>
            <w:r w:rsidRPr="00865EF3">
              <w:rPr>
                <w:rFonts w:ascii="Montserrat" w:eastAsia="Times New Roman" w:hAnsi="Montserrat" w:cs="Calibri"/>
                <w:b/>
                <w:bCs/>
                <w:color w:val="FFFFFF"/>
                <w:lang w:val="es-MX" w:eastAsia="es-MX"/>
              </w:rPr>
              <w:t>% Indicadores entre 80% y 115%</w:t>
            </w:r>
          </w:p>
        </w:tc>
        <w:tc>
          <w:tcPr>
            <w:tcW w:w="1418" w:type="dxa"/>
            <w:tcBorders>
              <w:top w:val="nil"/>
              <w:left w:val="nil"/>
              <w:bottom w:val="single" w:sz="8" w:space="0" w:color="auto"/>
              <w:right w:val="nil"/>
            </w:tcBorders>
            <w:shd w:val="clear" w:color="000000" w:fill="16365C"/>
            <w:vAlign w:val="center"/>
            <w:hideMark/>
          </w:tcPr>
          <w:p w14:paraId="68649504" w14:textId="77777777" w:rsidR="00D82BD6" w:rsidRPr="00865EF3" w:rsidRDefault="00D82BD6" w:rsidP="00D82BD6">
            <w:pPr>
              <w:jc w:val="center"/>
              <w:rPr>
                <w:rFonts w:ascii="Montserrat" w:eastAsia="Times New Roman" w:hAnsi="Montserrat" w:cs="Calibri"/>
                <w:b/>
                <w:bCs/>
                <w:color w:val="FFFFFF"/>
                <w:lang w:val="es-MX" w:eastAsia="es-MX"/>
              </w:rPr>
            </w:pPr>
            <w:r w:rsidRPr="00865EF3">
              <w:rPr>
                <w:rFonts w:ascii="Montserrat" w:eastAsia="Times New Roman" w:hAnsi="Montserrat" w:cs="Calibri"/>
                <w:b/>
                <w:bCs/>
                <w:color w:val="FFFFFF"/>
                <w:lang w:val="es-MX" w:eastAsia="es-MX"/>
              </w:rPr>
              <w:t>% Indicadores mayores al 115%</w:t>
            </w:r>
          </w:p>
        </w:tc>
        <w:tc>
          <w:tcPr>
            <w:tcW w:w="1880" w:type="dxa"/>
            <w:vMerge/>
            <w:tcBorders>
              <w:top w:val="single" w:sz="8" w:space="0" w:color="auto"/>
              <w:left w:val="nil"/>
              <w:bottom w:val="single" w:sz="8" w:space="0" w:color="000000"/>
              <w:right w:val="nil"/>
            </w:tcBorders>
            <w:vAlign w:val="center"/>
            <w:hideMark/>
          </w:tcPr>
          <w:p w14:paraId="75B5B110" w14:textId="77777777" w:rsidR="00D82BD6" w:rsidRPr="00865EF3" w:rsidRDefault="00D82BD6" w:rsidP="00D82BD6">
            <w:pPr>
              <w:rPr>
                <w:rFonts w:ascii="Montserrat" w:eastAsia="Times New Roman" w:hAnsi="Montserrat" w:cs="Calibri"/>
                <w:b/>
                <w:bCs/>
                <w:color w:val="FFFFFF"/>
                <w:lang w:val="es-MX" w:eastAsia="es-MX"/>
              </w:rPr>
            </w:pPr>
          </w:p>
        </w:tc>
      </w:tr>
      <w:tr w:rsidR="00D82BD6" w:rsidRPr="00D41E52" w14:paraId="5B6864D7" w14:textId="77777777" w:rsidTr="00D82BD6">
        <w:trPr>
          <w:trHeight w:val="333"/>
        </w:trPr>
        <w:tc>
          <w:tcPr>
            <w:tcW w:w="3265" w:type="dxa"/>
            <w:tcBorders>
              <w:top w:val="nil"/>
              <w:left w:val="nil"/>
              <w:bottom w:val="nil"/>
              <w:right w:val="nil"/>
            </w:tcBorders>
            <w:shd w:val="clear" w:color="000000" w:fill="FFFFFF"/>
            <w:vAlign w:val="center"/>
            <w:hideMark/>
          </w:tcPr>
          <w:p w14:paraId="547530ED" w14:textId="77777777" w:rsidR="00D82BD6" w:rsidRPr="00865EF3" w:rsidRDefault="00D82BD6" w:rsidP="00D82BD6">
            <w:pPr>
              <w:rPr>
                <w:rFonts w:ascii="Montserrat" w:eastAsia="Times New Roman" w:hAnsi="Montserrat" w:cs="Calibri"/>
                <w:color w:val="000000"/>
                <w:lang w:val="es-MX" w:eastAsia="es-MX"/>
              </w:rPr>
            </w:pPr>
            <w:r w:rsidRPr="00865EF3">
              <w:rPr>
                <w:rFonts w:ascii="Montserrat" w:eastAsia="Times New Roman" w:hAnsi="Montserrat" w:cs="Calibri"/>
                <w:b/>
                <w:bCs/>
                <w:color w:val="000000"/>
                <w:lang w:val="es-MX" w:eastAsia="es-MX"/>
              </w:rPr>
              <w:t>F003</w:t>
            </w:r>
            <w:r w:rsidRPr="00865EF3">
              <w:rPr>
                <w:rFonts w:ascii="Montserrat" w:eastAsia="Times New Roman" w:hAnsi="Montserrat" w:cs="Calibri"/>
                <w:color w:val="000000"/>
                <w:lang w:val="es-MX" w:eastAsia="es-MX"/>
              </w:rPr>
              <w:t>: Programas nacionales estratégicos de ciencia, tecnología y vinculación con el sector social, público y privado</w:t>
            </w:r>
          </w:p>
        </w:tc>
        <w:tc>
          <w:tcPr>
            <w:tcW w:w="1745" w:type="dxa"/>
            <w:tcBorders>
              <w:top w:val="nil"/>
              <w:left w:val="nil"/>
              <w:bottom w:val="nil"/>
              <w:right w:val="nil"/>
            </w:tcBorders>
            <w:shd w:val="clear" w:color="000000" w:fill="FFFFFF"/>
            <w:noWrap/>
            <w:vAlign w:val="center"/>
            <w:hideMark/>
          </w:tcPr>
          <w:p w14:paraId="2EE2C6AC"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50.00%</w:t>
            </w:r>
          </w:p>
        </w:tc>
        <w:tc>
          <w:tcPr>
            <w:tcW w:w="1689" w:type="dxa"/>
            <w:tcBorders>
              <w:top w:val="nil"/>
              <w:left w:val="nil"/>
              <w:bottom w:val="nil"/>
              <w:right w:val="nil"/>
            </w:tcBorders>
            <w:shd w:val="clear" w:color="000000" w:fill="FFFFFF"/>
            <w:noWrap/>
            <w:vAlign w:val="center"/>
            <w:hideMark/>
          </w:tcPr>
          <w:p w14:paraId="4CEC6E67"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50.00%</w:t>
            </w:r>
          </w:p>
        </w:tc>
        <w:tc>
          <w:tcPr>
            <w:tcW w:w="1418" w:type="dxa"/>
            <w:tcBorders>
              <w:top w:val="nil"/>
              <w:left w:val="nil"/>
              <w:bottom w:val="nil"/>
              <w:right w:val="nil"/>
            </w:tcBorders>
            <w:shd w:val="clear" w:color="000000" w:fill="FFFFFF"/>
            <w:noWrap/>
            <w:vAlign w:val="center"/>
            <w:hideMark/>
          </w:tcPr>
          <w:p w14:paraId="25544EEB"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 </w:t>
            </w:r>
          </w:p>
        </w:tc>
        <w:tc>
          <w:tcPr>
            <w:tcW w:w="1880" w:type="dxa"/>
            <w:tcBorders>
              <w:top w:val="nil"/>
              <w:left w:val="nil"/>
              <w:bottom w:val="nil"/>
              <w:right w:val="nil"/>
            </w:tcBorders>
            <w:shd w:val="clear" w:color="000000" w:fill="FFFFFF"/>
            <w:noWrap/>
            <w:vAlign w:val="center"/>
            <w:hideMark/>
          </w:tcPr>
          <w:p w14:paraId="2E645D9F"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100.00%</w:t>
            </w:r>
          </w:p>
        </w:tc>
      </w:tr>
      <w:tr w:rsidR="00D82BD6" w:rsidRPr="00D41E52" w14:paraId="5D2FD8AD" w14:textId="77777777" w:rsidTr="00D82BD6">
        <w:trPr>
          <w:trHeight w:val="269"/>
        </w:trPr>
        <w:tc>
          <w:tcPr>
            <w:tcW w:w="3265" w:type="dxa"/>
            <w:tcBorders>
              <w:top w:val="nil"/>
              <w:left w:val="nil"/>
              <w:bottom w:val="nil"/>
              <w:right w:val="nil"/>
            </w:tcBorders>
            <w:shd w:val="clear" w:color="000000" w:fill="FFFFFF"/>
            <w:vAlign w:val="center"/>
            <w:hideMark/>
          </w:tcPr>
          <w:p w14:paraId="4EF18244" w14:textId="77777777" w:rsidR="00D82BD6" w:rsidRPr="00865EF3" w:rsidRDefault="00D82BD6" w:rsidP="00D82BD6">
            <w:pPr>
              <w:rPr>
                <w:rFonts w:ascii="Montserrat" w:eastAsia="Times New Roman" w:hAnsi="Montserrat" w:cs="Calibri"/>
                <w:color w:val="000000"/>
                <w:lang w:val="es-MX" w:eastAsia="es-MX"/>
              </w:rPr>
            </w:pPr>
            <w:r w:rsidRPr="00865EF3">
              <w:rPr>
                <w:rFonts w:ascii="Montserrat" w:eastAsia="Times New Roman" w:hAnsi="Montserrat" w:cs="Calibri"/>
                <w:b/>
                <w:bCs/>
                <w:color w:val="000000"/>
                <w:lang w:val="es-MX" w:eastAsia="es-MX"/>
              </w:rPr>
              <w:t>S190:</w:t>
            </w:r>
            <w:r w:rsidRPr="00865EF3">
              <w:rPr>
                <w:rFonts w:ascii="Montserrat" w:eastAsia="Times New Roman" w:hAnsi="Montserrat" w:cs="Calibri"/>
                <w:color w:val="000000"/>
                <w:lang w:val="es-MX" w:eastAsia="es-MX"/>
              </w:rPr>
              <w:t xml:space="preserve"> Becas de posgrado y apoyos a la calidad</w:t>
            </w:r>
          </w:p>
        </w:tc>
        <w:tc>
          <w:tcPr>
            <w:tcW w:w="1745" w:type="dxa"/>
            <w:tcBorders>
              <w:top w:val="nil"/>
              <w:left w:val="nil"/>
              <w:bottom w:val="nil"/>
              <w:right w:val="nil"/>
            </w:tcBorders>
            <w:shd w:val="clear" w:color="000000" w:fill="FFFFFF"/>
            <w:noWrap/>
            <w:vAlign w:val="center"/>
            <w:hideMark/>
          </w:tcPr>
          <w:p w14:paraId="221F55B4"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 </w:t>
            </w:r>
          </w:p>
        </w:tc>
        <w:tc>
          <w:tcPr>
            <w:tcW w:w="1689" w:type="dxa"/>
            <w:tcBorders>
              <w:top w:val="nil"/>
              <w:left w:val="nil"/>
              <w:bottom w:val="nil"/>
              <w:right w:val="nil"/>
            </w:tcBorders>
            <w:shd w:val="clear" w:color="000000" w:fill="FFFFFF"/>
            <w:noWrap/>
            <w:vAlign w:val="center"/>
            <w:hideMark/>
          </w:tcPr>
          <w:p w14:paraId="27279C8E"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66.67%</w:t>
            </w:r>
          </w:p>
        </w:tc>
        <w:tc>
          <w:tcPr>
            <w:tcW w:w="1418" w:type="dxa"/>
            <w:tcBorders>
              <w:top w:val="nil"/>
              <w:left w:val="nil"/>
              <w:bottom w:val="nil"/>
              <w:right w:val="nil"/>
            </w:tcBorders>
            <w:shd w:val="clear" w:color="000000" w:fill="FFFFFF"/>
            <w:noWrap/>
            <w:vAlign w:val="center"/>
            <w:hideMark/>
          </w:tcPr>
          <w:p w14:paraId="35ADB5F9"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33.33%</w:t>
            </w:r>
          </w:p>
        </w:tc>
        <w:tc>
          <w:tcPr>
            <w:tcW w:w="1880" w:type="dxa"/>
            <w:tcBorders>
              <w:top w:val="nil"/>
              <w:left w:val="nil"/>
              <w:bottom w:val="nil"/>
              <w:right w:val="nil"/>
            </w:tcBorders>
            <w:shd w:val="clear" w:color="000000" w:fill="FFFFFF"/>
            <w:noWrap/>
            <w:vAlign w:val="center"/>
            <w:hideMark/>
          </w:tcPr>
          <w:p w14:paraId="642AE8BF"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100.00%</w:t>
            </w:r>
          </w:p>
        </w:tc>
      </w:tr>
      <w:tr w:rsidR="00D82BD6" w:rsidRPr="00D41E52" w14:paraId="29FCF742" w14:textId="77777777" w:rsidTr="00D82BD6">
        <w:trPr>
          <w:trHeight w:val="326"/>
        </w:trPr>
        <w:tc>
          <w:tcPr>
            <w:tcW w:w="3265" w:type="dxa"/>
            <w:tcBorders>
              <w:top w:val="nil"/>
              <w:left w:val="nil"/>
              <w:bottom w:val="nil"/>
              <w:right w:val="nil"/>
            </w:tcBorders>
            <w:shd w:val="clear" w:color="000000" w:fill="FFFFFF"/>
            <w:vAlign w:val="center"/>
            <w:hideMark/>
          </w:tcPr>
          <w:p w14:paraId="0F985744" w14:textId="77777777" w:rsidR="00D82BD6" w:rsidRPr="00865EF3" w:rsidRDefault="00D82BD6" w:rsidP="00D82BD6">
            <w:pPr>
              <w:rPr>
                <w:rFonts w:ascii="Montserrat" w:eastAsia="Times New Roman" w:hAnsi="Montserrat" w:cs="Calibri"/>
                <w:color w:val="000000"/>
                <w:lang w:val="es-MX" w:eastAsia="es-MX"/>
              </w:rPr>
            </w:pPr>
            <w:r w:rsidRPr="00865EF3">
              <w:rPr>
                <w:rFonts w:ascii="Montserrat" w:eastAsia="Times New Roman" w:hAnsi="Montserrat" w:cs="Calibri"/>
                <w:b/>
                <w:bCs/>
                <w:color w:val="000000"/>
                <w:lang w:val="es-MX" w:eastAsia="es-MX"/>
              </w:rPr>
              <w:t>S191</w:t>
            </w:r>
            <w:r w:rsidRPr="00865EF3">
              <w:rPr>
                <w:rFonts w:ascii="Montserrat" w:eastAsia="Times New Roman" w:hAnsi="Montserrat" w:cs="Calibri"/>
                <w:color w:val="000000"/>
                <w:lang w:val="es-MX" w:eastAsia="es-MX"/>
              </w:rPr>
              <w:t>: Sistema Nacional de Investigadores</w:t>
            </w:r>
          </w:p>
        </w:tc>
        <w:tc>
          <w:tcPr>
            <w:tcW w:w="1745" w:type="dxa"/>
            <w:tcBorders>
              <w:top w:val="nil"/>
              <w:left w:val="nil"/>
              <w:bottom w:val="nil"/>
              <w:right w:val="nil"/>
            </w:tcBorders>
            <w:shd w:val="clear" w:color="000000" w:fill="FFFFFF"/>
            <w:noWrap/>
            <w:vAlign w:val="center"/>
            <w:hideMark/>
          </w:tcPr>
          <w:p w14:paraId="62588D30"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 </w:t>
            </w:r>
          </w:p>
        </w:tc>
        <w:tc>
          <w:tcPr>
            <w:tcW w:w="1689" w:type="dxa"/>
            <w:tcBorders>
              <w:top w:val="nil"/>
              <w:left w:val="nil"/>
              <w:bottom w:val="nil"/>
              <w:right w:val="nil"/>
            </w:tcBorders>
            <w:shd w:val="clear" w:color="000000" w:fill="FFFFFF"/>
            <w:noWrap/>
            <w:vAlign w:val="center"/>
            <w:hideMark/>
          </w:tcPr>
          <w:p w14:paraId="7A2D6132"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80.00%</w:t>
            </w:r>
          </w:p>
        </w:tc>
        <w:tc>
          <w:tcPr>
            <w:tcW w:w="1418" w:type="dxa"/>
            <w:tcBorders>
              <w:top w:val="nil"/>
              <w:left w:val="nil"/>
              <w:bottom w:val="nil"/>
              <w:right w:val="nil"/>
            </w:tcBorders>
            <w:shd w:val="clear" w:color="000000" w:fill="FFFFFF"/>
            <w:noWrap/>
            <w:vAlign w:val="center"/>
            <w:hideMark/>
          </w:tcPr>
          <w:p w14:paraId="39F6B78C"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20.00%</w:t>
            </w:r>
          </w:p>
        </w:tc>
        <w:tc>
          <w:tcPr>
            <w:tcW w:w="1880" w:type="dxa"/>
            <w:tcBorders>
              <w:top w:val="nil"/>
              <w:left w:val="nil"/>
              <w:bottom w:val="nil"/>
              <w:right w:val="nil"/>
            </w:tcBorders>
            <w:shd w:val="clear" w:color="000000" w:fill="FFFFFF"/>
            <w:noWrap/>
            <w:vAlign w:val="center"/>
            <w:hideMark/>
          </w:tcPr>
          <w:p w14:paraId="48EC3D6A"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100.00%</w:t>
            </w:r>
          </w:p>
        </w:tc>
      </w:tr>
      <w:tr w:rsidR="00D82BD6" w:rsidRPr="00D41E52" w14:paraId="3B7A22DA" w14:textId="77777777" w:rsidTr="00D82BD6">
        <w:trPr>
          <w:trHeight w:val="433"/>
        </w:trPr>
        <w:tc>
          <w:tcPr>
            <w:tcW w:w="3265" w:type="dxa"/>
            <w:tcBorders>
              <w:top w:val="nil"/>
              <w:left w:val="nil"/>
              <w:bottom w:val="nil"/>
              <w:right w:val="nil"/>
            </w:tcBorders>
            <w:shd w:val="clear" w:color="000000" w:fill="FFFFFF"/>
            <w:vAlign w:val="center"/>
            <w:hideMark/>
          </w:tcPr>
          <w:p w14:paraId="68A65A18" w14:textId="77777777" w:rsidR="00D82BD6" w:rsidRPr="00865EF3" w:rsidRDefault="00D82BD6" w:rsidP="00D82BD6">
            <w:pPr>
              <w:rPr>
                <w:rFonts w:ascii="Montserrat" w:eastAsia="Times New Roman" w:hAnsi="Montserrat" w:cs="Calibri"/>
                <w:color w:val="000000"/>
                <w:lang w:val="es-MX" w:eastAsia="es-MX"/>
              </w:rPr>
            </w:pPr>
            <w:r w:rsidRPr="00865EF3">
              <w:rPr>
                <w:rFonts w:ascii="Montserrat" w:eastAsia="Times New Roman" w:hAnsi="Montserrat" w:cs="Calibri"/>
                <w:b/>
                <w:bCs/>
                <w:color w:val="000000"/>
                <w:lang w:val="es-MX" w:eastAsia="es-MX"/>
              </w:rPr>
              <w:t>P001</w:t>
            </w:r>
            <w:r w:rsidRPr="00865EF3">
              <w:rPr>
                <w:rFonts w:ascii="Montserrat" w:eastAsia="Times New Roman" w:hAnsi="Montserrat" w:cs="Calibri"/>
                <w:color w:val="000000"/>
                <w:lang w:val="es-MX" w:eastAsia="es-MX"/>
              </w:rPr>
              <w:t>: Diseño y evaluación de políticas en ciencia, tecnología e innovación</w:t>
            </w:r>
          </w:p>
        </w:tc>
        <w:tc>
          <w:tcPr>
            <w:tcW w:w="1745" w:type="dxa"/>
            <w:tcBorders>
              <w:top w:val="nil"/>
              <w:left w:val="nil"/>
              <w:bottom w:val="nil"/>
              <w:right w:val="nil"/>
            </w:tcBorders>
            <w:shd w:val="clear" w:color="000000" w:fill="FFFFFF"/>
            <w:noWrap/>
            <w:vAlign w:val="center"/>
            <w:hideMark/>
          </w:tcPr>
          <w:p w14:paraId="50DB309F"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 </w:t>
            </w:r>
          </w:p>
        </w:tc>
        <w:tc>
          <w:tcPr>
            <w:tcW w:w="1689" w:type="dxa"/>
            <w:tcBorders>
              <w:top w:val="nil"/>
              <w:left w:val="nil"/>
              <w:bottom w:val="nil"/>
              <w:right w:val="nil"/>
            </w:tcBorders>
            <w:shd w:val="clear" w:color="000000" w:fill="FFFFFF"/>
            <w:noWrap/>
            <w:vAlign w:val="center"/>
            <w:hideMark/>
          </w:tcPr>
          <w:p w14:paraId="03E51ECE"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100.00%</w:t>
            </w:r>
          </w:p>
        </w:tc>
        <w:tc>
          <w:tcPr>
            <w:tcW w:w="1418" w:type="dxa"/>
            <w:tcBorders>
              <w:top w:val="nil"/>
              <w:left w:val="nil"/>
              <w:bottom w:val="nil"/>
              <w:right w:val="nil"/>
            </w:tcBorders>
            <w:shd w:val="clear" w:color="000000" w:fill="FFFFFF"/>
            <w:noWrap/>
            <w:vAlign w:val="center"/>
            <w:hideMark/>
          </w:tcPr>
          <w:p w14:paraId="07DB6C8D"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 </w:t>
            </w:r>
          </w:p>
        </w:tc>
        <w:tc>
          <w:tcPr>
            <w:tcW w:w="1880" w:type="dxa"/>
            <w:tcBorders>
              <w:top w:val="nil"/>
              <w:left w:val="nil"/>
              <w:bottom w:val="nil"/>
              <w:right w:val="nil"/>
            </w:tcBorders>
            <w:shd w:val="clear" w:color="000000" w:fill="FFFFFF"/>
            <w:noWrap/>
            <w:vAlign w:val="center"/>
            <w:hideMark/>
          </w:tcPr>
          <w:p w14:paraId="07E01B0B" w14:textId="77777777" w:rsidR="00D82BD6" w:rsidRPr="00865EF3" w:rsidRDefault="00D82BD6" w:rsidP="00D82BD6">
            <w:pPr>
              <w:jc w:val="center"/>
              <w:rPr>
                <w:rFonts w:ascii="Montserrat" w:eastAsia="Times New Roman" w:hAnsi="Montserrat" w:cs="Calibri"/>
                <w:color w:val="000000"/>
                <w:lang w:val="es-MX" w:eastAsia="es-MX"/>
              </w:rPr>
            </w:pPr>
            <w:r w:rsidRPr="00865EF3">
              <w:rPr>
                <w:rFonts w:ascii="Montserrat" w:eastAsia="Times New Roman" w:hAnsi="Montserrat" w:cs="Calibri"/>
                <w:color w:val="000000"/>
                <w:lang w:val="es-MX" w:eastAsia="es-MX"/>
              </w:rPr>
              <w:t>100.00%</w:t>
            </w:r>
          </w:p>
        </w:tc>
      </w:tr>
      <w:tr w:rsidR="00D82BD6" w:rsidRPr="00D41E52" w14:paraId="0DB54A3E" w14:textId="77777777" w:rsidTr="00D82BD6">
        <w:trPr>
          <w:trHeight w:val="149"/>
        </w:trPr>
        <w:tc>
          <w:tcPr>
            <w:tcW w:w="3265" w:type="dxa"/>
            <w:tcBorders>
              <w:top w:val="single" w:sz="4" w:space="0" w:color="auto"/>
              <w:left w:val="nil"/>
              <w:bottom w:val="single" w:sz="4" w:space="0" w:color="auto"/>
              <w:right w:val="nil"/>
            </w:tcBorders>
            <w:shd w:val="clear" w:color="000000" w:fill="FFFFFF"/>
            <w:noWrap/>
            <w:vAlign w:val="bottom"/>
            <w:hideMark/>
          </w:tcPr>
          <w:p w14:paraId="5797E554" w14:textId="77777777" w:rsidR="00D82BD6" w:rsidRPr="00865EF3" w:rsidRDefault="00D82BD6" w:rsidP="00D82BD6">
            <w:pP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Total</w:t>
            </w:r>
          </w:p>
        </w:tc>
        <w:tc>
          <w:tcPr>
            <w:tcW w:w="1745" w:type="dxa"/>
            <w:tcBorders>
              <w:top w:val="single" w:sz="4" w:space="0" w:color="auto"/>
              <w:left w:val="nil"/>
              <w:bottom w:val="single" w:sz="4" w:space="0" w:color="auto"/>
              <w:right w:val="nil"/>
            </w:tcBorders>
            <w:shd w:val="clear" w:color="000000" w:fill="FFFFFF"/>
            <w:noWrap/>
            <w:vAlign w:val="bottom"/>
            <w:hideMark/>
          </w:tcPr>
          <w:p w14:paraId="7945A313"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15.38%</w:t>
            </w:r>
          </w:p>
        </w:tc>
        <w:tc>
          <w:tcPr>
            <w:tcW w:w="1689" w:type="dxa"/>
            <w:tcBorders>
              <w:top w:val="single" w:sz="4" w:space="0" w:color="auto"/>
              <w:left w:val="nil"/>
              <w:bottom w:val="single" w:sz="4" w:space="0" w:color="auto"/>
              <w:right w:val="nil"/>
            </w:tcBorders>
            <w:shd w:val="clear" w:color="000000" w:fill="FFFFFF"/>
            <w:noWrap/>
            <w:vAlign w:val="bottom"/>
            <w:hideMark/>
          </w:tcPr>
          <w:p w14:paraId="7F8E0EC1"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69.23%</w:t>
            </w:r>
          </w:p>
        </w:tc>
        <w:tc>
          <w:tcPr>
            <w:tcW w:w="1418" w:type="dxa"/>
            <w:tcBorders>
              <w:top w:val="single" w:sz="4" w:space="0" w:color="auto"/>
              <w:left w:val="nil"/>
              <w:bottom w:val="single" w:sz="4" w:space="0" w:color="auto"/>
              <w:right w:val="nil"/>
            </w:tcBorders>
            <w:shd w:val="clear" w:color="000000" w:fill="FFFFFF"/>
            <w:noWrap/>
            <w:vAlign w:val="bottom"/>
            <w:hideMark/>
          </w:tcPr>
          <w:p w14:paraId="07D8EFE3"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15.38%</w:t>
            </w:r>
          </w:p>
        </w:tc>
        <w:tc>
          <w:tcPr>
            <w:tcW w:w="1880" w:type="dxa"/>
            <w:tcBorders>
              <w:top w:val="single" w:sz="4" w:space="0" w:color="auto"/>
              <w:left w:val="nil"/>
              <w:bottom w:val="single" w:sz="4" w:space="0" w:color="auto"/>
              <w:right w:val="nil"/>
            </w:tcBorders>
            <w:shd w:val="clear" w:color="000000" w:fill="FFFFFF"/>
            <w:noWrap/>
            <w:vAlign w:val="bottom"/>
            <w:hideMark/>
          </w:tcPr>
          <w:p w14:paraId="28778EFD" w14:textId="77777777" w:rsidR="00D82BD6" w:rsidRPr="00865EF3" w:rsidRDefault="00D82BD6" w:rsidP="00D82BD6">
            <w:pPr>
              <w:jc w:val="center"/>
              <w:rPr>
                <w:rFonts w:ascii="Montserrat" w:eastAsia="Times New Roman" w:hAnsi="Montserrat" w:cs="Calibri"/>
                <w:b/>
                <w:bCs/>
                <w:color w:val="000000"/>
                <w:lang w:val="es-MX" w:eastAsia="es-MX"/>
              </w:rPr>
            </w:pPr>
            <w:r w:rsidRPr="00865EF3">
              <w:rPr>
                <w:rFonts w:ascii="Montserrat" w:eastAsia="Times New Roman" w:hAnsi="Montserrat" w:cs="Calibri"/>
                <w:b/>
                <w:bCs/>
                <w:color w:val="000000"/>
                <w:lang w:val="es-MX" w:eastAsia="es-MX"/>
              </w:rPr>
              <w:t>100.00%</w:t>
            </w:r>
          </w:p>
        </w:tc>
      </w:tr>
    </w:tbl>
    <w:p w14:paraId="3C60601B" w14:textId="77777777" w:rsidR="003C4AA1" w:rsidRPr="00865EF3" w:rsidRDefault="003C4AA1" w:rsidP="00D84350">
      <w:pPr>
        <w:jc w:val="both"/>
        <w:rPr>
          <w:rFonts w:ascii="Montserrat" w:hAnsi="Montserrat"/>
        </w:rPr>
      </w:pPr>
    </w:p>
    <w:p w14:paraId="37E5959B" w14:textId="77777777" w:rsidR="00D84350" w:rsidRPr="00865EF3" w:rsidRDefault="00D84350" w:rsidP="00D84350">
      <w:pPr>
        <w:jc w:val="both"/>
        <w:rPr>
          <w:rFonts w:ascii="Montserrat" w:hAnsi="Montserrat"/>
        </w:rPr>
      </w:pPr>
      <w:r w:rsidRPr="00865EF3">
        <w:rPr>
          <w:rFonts w:ascii="Montserrat" w:hAnsi="Montserrat"/>
        </w:rPr>
        <w:t>Con la información de los cuadros, puede apreciarse lo siguiente:</w:t>
      </w:r>
    </w:p>
    <w:p w14:paraId="7DA92E53" w14:textId="77777777" w:rsidR="00D84350" w:rsidRPr="00865EF3" w:rsidRDefault="00D84350" w:rsidP="00D84350">
      <w:pPr>
        <w:jc w:val="both"/>
        <w:rPr>
          <w:rFonts w:ascii="Montserrat" w:hAnsi="Montserrat"/>
        </w:rPr>
      </w:pPr>
    </w:p>
    <w:p w14:paraId="5E63303E" w14:textId="0765CA07" w:rsidR="00D84350" w:rsidRPr="00865EF3" w:rsidRDefault="00D84350" w:rsidP="009A271B">
      <w:pPr>
        <w:pStyle w:val="Prrafodelista"/>
        <w:jc w:val="both"/>
        <w:rPr>
          <w:rFonts w:ascii="Montserrat" w:hAnsi="Montserrat" w:cs="Times New Roman"/>
        </w:rPr>
      </w:pPr>
      <w:r w:rsidRPr="00865EF3">
        <w:rPr>
          <w:rFonts w:ascii="Montserrat" w:hAnsi="Montserrat" w:cs="Times New Roman"/>
        </w:rPr>
        <w:t>De los 1</w:t>
      </w:r>
      <w:r w:rsidR="000A7443" w:rsidRPr="00865EF3">
        <w:rPr>
          <w:rFonts w:ascii="Montserrat" w:hAnsi="Montserrat" w:cs="Times New Roman"/>
        </w:rPr>
        <w:t>3</w:t>
      </w:r>
      <w:r w:rsidRPr="00865EF3">
        <w:rPr>
          <w:rFonts w:ascii="Montserrat" w:hAnsi="Montserrat" w:cs="Times New Roman"/>
        </w:rPr>
        <w:t xml:space="preserve"> indicadores registrados, </w:t>
      </w:r>
      <w:r w:rsidR="00E86B4F" w:rsidRPr="00865EF3">
        <w:rPr>
          <w:rFonts w:ascii="Montserrat" w:hAnsi="Montserrat" w:cs="Times New Roman"/>
        </w:rPr>
        <w:t>2</w:t>
      </w:r>
      <w:r w:rsidRPr="00865EF3">
        <w:rPr>
          <w:rFonts w:ascii="Montserrat" w:hAnsi="Montserrat" w:cs="Times New Roman"/>
        </w:rPr>
        <w:t xml:space="preserve"> muestra</w:t>
      </w:r>
      <w:r w:rsidR="000A7443" w:rsidRPr="00865EF3">
        <w:rPr>
          <w:rFonts w:ascii="Montserrat" w:hAnsi="Montserrat" w:cs="Times New Roman"/>
        </w:rPr>
        <w:t>n</w:t>
      </w:r>
      <w:r w:rsidRPr="00865EF3">
        <w:rPr>
          <w:rFonts w:ascii="Montserrat" w:hAnsi="Montserrat" w:cs="Times New Roman"/>
        </w:rPr>
        <w:t xml:space="preserve"> un desempeño menor al 80%, mientras que </w:t>
      </w:r>
      <w:r w:rsidR="00E86B4F" w:rsidRPr="00865EF3">
        <w:rPr>
          <w:rFonts w:ascii="Montserrat" w:hAnsi="Montserrat" w:cs="Times New Roman"/>
        </w:rPr>
        <w:t>9</w:t>
      </w:r>
      <w:r w:rsidRPr="00865EF3">
        <w:rPr>
          <w:rFonts w:ascii="Montserrat" w:hAnsi="Montserrat" w:cs="Times New Roman"/>
        </w:rPr>
        <w:t xml:space="preserve"> tienen un desempeño entre 80% y 115% y </w:t>
      </w:r>
      <w:r w:rsidR="00E86B4F" w:rsidRPr="00865EF3">
        <w:rPr>
          <w:rFonts w:ascii="Montserrat" w:hAnsi="Montserrat" w:cs="Times New Roman"/>
        </w:rPr>
        <w:t>2</w:t>
      </w:r>
      <w:r w:rsidRPr="00865EF3">
        <w:rPr>
          <w:rFonts w:ascii="Montserrat" w:hAnsi="Montserrat" w:cs="Times New Roman"/>
        </w:rPr>
        <w:t xml:space="preserve"> </w:t>
      </w:r>
      <w:r w:rsidR="006E3FF5" w:rsidRPr="00865EF3">
        <w:rPr>
          <w:rFonts w:ascii="Montserrat" w:hAnsi="Montserrat" w:cs="Times New Roman"/>
        </w:rPr>
        <w:t xml:space="preserve">reflejan </w:t>
      </w:r>
      <w:r w:rsidRPr="00865EF3">
        <w:rPr>
          <w:rFonts w:ascii="Montserrat" w:hAnsi="Montserrat" w:cs="Times New Roman"/>
        </w:rPr>
        <w:t xml:space="preserve">un desempeño mayor al 115%. En términos porcentuales, la distribución es </w:t>
      </w:r>
      <w:r w:rsidR="00E86B4F" w:rsidRPr="00865EF3">
        <w:rPr>
          <w:rFonts w:ascii="Montserrat" w:hAnsi="Montserrat" w:cs="Times New Roman"/>
        </w:rPr>
        <w:t>15.38</w:t>
      </w:r>
      <w:r w:rsidRPr="00865EF3">
        <w:rPr>
          <w:rFonts w:ascii="Montserrat" w:hAnsi="Montserrat" w:cs="Times New Roman"/>
        </w:rPr>
        <w:t xml:space="preserve">%, </w:t>
      </w:r>
      <w:r w:rsidR="00E86B4F" w:rsidRPr="00865EF3">
        <w:rPr>
          <w:rFonts w:ascii="Montserrat" w:hAnsi="Montserrat" w:cs="Times New Roman"/>
        </w:rPr>
        <w:t>69.23</w:t>
      </w:r>
      <w:r w:rsidRPr="00865EF3">
        <w:rPr>
          <w:rFonts w:ascii="Montserrat" w:hAnsi="Montserrat" w:cs="Times New Roman"/>
        </w:rPr>
        <w:t xml:space="preserve">% y </w:t>
      </w:r>
      <w:r w:rsidR="00E86B4F" w:rsidRPr="00865EF3">
        <w:rPr>
          <w:rFonts w:ascii="Montserrat" w:hAnsi="Montserrat" w:cs="Times New Roman"/>
        </w:rPr>
        <w:t>15.38</w:t>
      </w:r>
      <w:r w:rsidRPr="00865EF3">
        <w:rPr>
          <w:rFonts w:ascii="Montserrat" w:hAnsi="Montserrat" w:cs="Times New Roman"/>
        </w:rPr>
        <w:t>%, respectivamente. Estos datos, expresan que la gran mayoría de los indicadores de los programas presupuestales de</w:t>
      </w:r>
      <w:r w:rsidR="008E0373" w:rsidRPr="00865EF3">
        <w:rPr>
          <w:rFonts w:ascii="Montserrat" w:hAnsi="Montserrat" w:cs="Times New Roman"/>
        </w:rPr>
        <w:t>l</w:t>
      </w:r>
      <w:r w:rsidRPr="00865EF3">
        <w:rPr>
          <w:rFonts w:ascii="Montserrat" w:hAnsi="Montserrat" w:cs="Times New Roman"/>
        </w:rPr>
        <w:t xml:space="preserve"> C</w:t>
      </w:r>
      <w:r w:rsidR="00EE3CA7" w:rsidRPr="00865EF3">
        <w:rPr>
          <w:rFonts w:ascii="Montserrat" w:hAnsi="Montserrat" w:cs="Times New Roman"/>
        </w:rPr>
        <w:t>onacyt</w:t>
      </w:r>
      <w:r w:rsidRPr="00865EF3">
        <w:rPr>
          <w:rFonts w:ascii="Montserrat" w:hAnsi="Montserrat" w:cs="Times New Roman"/>
        </w:rPr>
        <w:t xml:space="preserve"> tuvieron un comportamiento adecuado durante el primer trimestre de 202</w:t>
      </w:r>
      <w:r w:rsidR="000A7443" w:rsidRPr="00865EF3">
        <w:rPr>
          <w:rFonts w:ascii="Montserrat" w:hAnsi="Montserrat" w:cs="Times New Roman"/>
        </w:rPr>
        <w:t>3</w:t>
      </w:r>
      <w:r w:rsidRPr="00865EF3">
        <w:rPr>
          <w:rFonts w:ascii="Montserrat" w:hAnsi="Montserrat" w:cs="Times New Roman"/>
        </w:rPr>
        <w:t>.</w:t>
      </w:r>
    </w:p>
    <w:p w14:paraId="1E3EB1BD" w14:textId="77777777" w:rsidR="00D84350" w:rsidRPr="00865EF3" w:rsidRDefault="00D84350" w:rsidP="009A271B">
      <w:pPr>
        <w:jc w:val="both"/>
        <w:rPr>
          <w:rFonts w:ascii="Montserrat" w:hAnsi="Montserrat" w:cs="Times New Roman"/>
        </w:rPr>
      </w:pPr>
    </w:p>
    <w:p w14:paraId="663552C2" w14:textId="670427B6" w:rsidR="00D84350" w:rsidRPr="00865EF3" w:rsidRDefault="00D84350" w:rsidP="009A271B">
      <w:pPr>
        <w:pStyle w:val="Prrafodelista"/>
        <w:jc w:val="both"/>
        <w:rPr>
          <w:rFonts w:ascii="Montserrat" w:hAnsi="Montserrat" w:cs="Times New Roman"/>
        </w:rPr>
      </w:pPr>
      <w:r w:rsidRPr="00865EF3">
        <w:rPr>
          <w:rFonts w:ascii="Montserrat" w:hAnsi="Montserrat" w:cs="Times New Roman"/>
        </w:rPr>
        <w:t>Entre l</w:t>
      </w:r>
      <w:r w:rsidR="009A271B" w:rsidRPr="00865EF3">
        <w:rPr>
          <w:rFonts w:ascii="Montserrat" w:hAnsi="Montserrat" w:cs="Times New Roman"/>
        </w:rPr>
        <w:t xml:space="preserve">os resultados más significativos podemos señalar </w:t>
      </w:r>
      <w:r w:rsidR="001C5F97" w:rsidRPr="00865EF3">
        <w:rPr>
          <w:rFonts w:ascii="Montserrat" w:hAnsi="Montserrat" w:cs="Times New Roman"/>
        </w:rPr>
        <w:t>que</w:t>
      </w:r>
      <w:r w:rsidR="009A271B" w:rsidRPr="00865EF3">
        <w:rPr>
          <w:rFonts w:ascii="Montserrat" w:hAnsi="Montserrat" w:cs="Times New Roman"/>
        </w:rPr>
        <w:t>:</w:t>
      </w:r>
    </w:p>
    <w:p w14:paraId="26B4D809" w14:textId="77777777" w:rsidR="00D84350" w:rsidRPr="00865EF3" w:rsidRDefault="00D84350" w:rsidP="00D84350">
      <w:pPr>
        <w:jc w:val="both"/>
        <w:rPr>
          <w:rFonts w:ascii="Montserrat" w:hAnsi="Montserrat" w:cs="Times New Roman"/>
        </w:rPr>
      </w:pPr>
    </w:p>
    <w:p w14:paraId="400C9BAD" w14:textId="304CBE82" w:rsidR="000A7443" w:rsidRPr="00865EF3" w:rsidRDefault="000A7443" w:rsidP="00AB6E7B">
      <w:pPr>
        <w:pStyle w:val="Prrafodelista"/>
        <w:jc w:val="both"/>
        <w:rPr>
          <w:rFonts w:ascii="Montserrat" w:hAnsi="Montserrat" w:cs="Times New Roman"/>
        </w:rPr>
      </w:pPr>
      <w:r w:rsidRPr="00865EF3">
        <w:rPr>
          <w:rFonts w:ascii="Montserrat" w:hAnsi="Montserrat" w:cs="Times New Roman"/>
        </w:rPr>
        <w:t xml:space="preserve">En el </w:t>
      </w:r>
      <w:bookmarkStart w:id="1" w:name="_Hlk132712224"/>
      <w:r w:rsidRPr="00865EF3">
        <w:rPr>
          <w:rFonts w:ascii="Montserrat" w:hAnsi="Montserrat" w:cs="Times New Roman"/>
          <w:b/>
        </w:rPr>
        <w:t>Programa F003 “Programas nacionales estratégicos de ciencia, tecnología y vinculación con el sector social, público y privado”</w:t>
      </w:r>
      <w:r w:rsidRPr="00865EF3">
        <w:rPr>
          <w:rFonts w:ascii="Montserrat" w:hAnsi="Montserrat" w:cs="Times New Roman"/>
        </w:rPr>
        <w:t xml:space="preserve"> </w:t>
      </w:r>
      <w:bookmarkEnd w:id="1"/>
      <w:r w:rsidR="009A271B" w:rsidRPr="00865EF3">
        <w:rPr>
          <w:rFonts w:ascii="Montserrat" w:hAnsi="Montserrat" w:cs="Times New Roman"/>
        </w:rPr>
        <w:t xml:space="preserve">los </w:t>
      </w:r>
      <w:r w:rsidRPr="00865EF3">
        <w:rPr>
          <w:rFonts w:ascii="Montserrat" w:hAnsi="Montserrat" w:cs="Times New Roman"/>
        </w:rPr>
        <w:t xml:space="preserve">indicadores </w:t>
      </w:r>
      <w:r w:rsidR="009A271B" w:rsidRPr="00865EF3">
        <w:rPr>
          <w:rFonts w:ascii="Montserrat" w:hAnsi="Montserrat" w:cs="Times New Roman"/>
          <w:i/>
        </w:rPr>
        <w:t>“Porcentaje de convocatorias emitidas”</w:t>
      </w:r>
      <w:r w:rsidR="009A271B" w:rsidRPr="00865EF3">
        <w:rPr>
          <w:rFonts w:ascii="Montserrat" w:hAnsi="Montserrat" w:cs="Times New Roman"/>
        </w:rPr>
        <w:t xml:space="preserve"> y </w:t>
      </w:r>
      <w:r w:rsidR="009A271B" w:rsidRPr="00865EF3">
        <w:rPr>
          <w:rFonts w:ascii="Montserrat" w:hAnsi="Montserrat" w:cs="Times New Roman"/>
          <w:i/>
        </w:rPr>
        <w:t>“Porcentaje de proyectos formalizados”,</w:t>
      </w:r>
      <w:r w:rsidR="009A271B" w:rsidRPr="00865EF3">
        <w:rPr>
          <w:rFonts w:ascii="Montserrat" w:hAnsi="Montserrat" w:cs="Times New Roman"/>
        </w:rPr>
        <w:t xml:space="preserve"> </w:t>
      </w:r>
      <w:r w:rsidRPr="00865EF3">
        <w:rPr>
          <w:rFonts w:ascii="Montserrat" w:hAnsi="Montserrat" w:cs="Times New Roman"/>
        </w:rPr>
        <w:t>tuvieron un cumplimiento por debajo del 80% debido a que sólo se emitió 1 convocatoria de 3 que se tenían programadas</w:t>
      </w:r>
      <w:r w:rsidR="009A271B" w:rsidRPr="00865EF3">
        <w:rPr>
          <w:rFonts w:ascii="Montserrat" w:hAnsi="Montserrat" w:cs="Times New Roman"/>
        </w:rPr>
        <w:t xml:space="preserve">, lo </w:t>
      </w:r>
      <w:r w:rsidR="009A271B" w:rsidRPr="00865EF3">
        <w:rPr>
          <w:rFonts w:ascii="Montserrat" w:hAnsi="Montserrat" w:cs="Times New Roman"/>
        </w:rPr>
        <w:lastRenderedPageBreak/>
        <w:t>que también incidió en la formalización de nuevos proyectos que se tenían estimados</w:t>
      </w:r>
      <w:r w:rsidR="00AB6E7B" w:rsidRPr="00865EF3">
        <w:rPr>
          <w:rFonts w:ascii="Montserrat" w:hAnsi="Montserrat" w:cs="Times New Roman"/>
        </w:rPr>
        <w:t xml:space="preserve">, toda vez que </w:t>
      </w:r>
      <w:r w:rsidRPr="00865EF3">
        <w:rPr>
          <w:rFonts w:ascii="Montserrat" w:hAnsi="Montserrat" w:cs="Times New Roman"/>
        </w:rPr>
        <w:t>sólo se formalizaron 15 proyectos de 34 que se tenían contemplados para el primer trimestre.</w:t>
      </w:r>
    </w:p>
    <w:p w14:paraId="08813DAE" w14:textId="77777777" w:rsidR="00AB6E7B" w:rsidRPr="00865EF3" w:rsidRDefault="00AB6E7B" w:rsidP="00D84350">
      <w:pPr>
        <w:pStyle w:val="Prrafodelista"/>
        <w:jc w:val="both"/>
        <w:rPr>
          <w:rFonts w:ascii="Montserrat" w:hAnsi="Montserrat" w:cs="Times New Roman"/>
        </w:rPr>
      </w:pPr>
    </w:p>
    <w:p w14:paraId="47E0D350" w14:textId="394B547D" w:rsidR="000A7443" w:rsidRPr="00865EF3" w:rsidRDefault="000A7443" w:rsidP="00D84350">
      <w:pPr>
        <w:pStyle w:val="Prrafodelista"/>
        <w:jc w:val="both"/>
        <w:rPr>
          <w:rFonts w:ascii="Montserrat" w:hAnsi="Montserrat" w:cs="Times New Roman"/>
        </w:rPr>
      </w:pPr>
      <w:r w:rsidRPr="00865EF3">
        <w:rPr>
          <w:rFonts w:ascii="Montserrat" w:hAnsi="Montserrat" w:cs="Times New Roman"/>
        </w:rPr>
        <w:t>En el mismo Programa</w:t>
      </w:r>
      <w:r w:rsidR="00AB6E7B" w:rsidRPr="00865EF3">
        <w:rPr>
          <w:rFonts w:ascii="Montserrat" w:hAnsi="Montserrat" w:cs="Times New Roman"/>
        </w:rPr>
        <w:t>,</w:t>
      </w:r>
      <w:r w:rsidRPr="00865EF3">
        <w:rPr>
          <w:rFonts w:ascii="Montserrat" w:hAnsi="Montserrat" w:cs="Times New Roman"/>
        </w:rPr>
        <w:t xml:space="preserve"> se tuvieron dos indicadores en </w:t>
      </w:r>
      <w:r w:rsidR="00D50131" w:rsidRPr="00865EF3">
        <w:rPr>
          <w:rFonts w:ascii="Montserrat" w:hAnsi="Montserrat" w:cs="Times New Roman"/>
        </w:rPr>
        <w:t>un</w:t>
      </w:r>
      <w:r w:rsidRPr="00865EF3">
        <w:rPr>
          <w:rFonts w:ascii="Montserrat" w:hAnsi="Montserrat" w:cs="Times New Roman"/>
        </w:rPr>
        <w:t xml:space="preserve"> rango de cumplimiento </w:t>
      </w:r>
      <w:r w:rsidR="00E54C04" w:rsidRPr="00865EF3">
        <w:rPr>
          <w:rFonts w:ascii="Montserrat" w:hAnsi="Montserrat" w:cs="Times New Roman"/>
        </w:rPr>
        <w:t>entre e</w:t>
      </w:r>
      <w:r w:rsidRPr="00865EF3">
        <w:rPr>
          <w:rFonts w:ascii="Montserrat" w:hAnsi="Montserrat" w:cs="Times New Roman"/>
        </w:rPr>
        <w:t xml:space="preserve">l 80-115 por ciento, </w:t>
      </w:r>
      <w:r w:rsidR="00EE3CA7" w:rsidRPr="00865EF3">
        <w:rPr>
          <w:rFonts w:ascii="Montserrat" w:hAnsi="Montserrat" w:cs="Times New Roman"/>
        </w:rPr>
        <w:t xml:space="preserve">ya </w:t>
      </w:r>
      <w:r w:rsidRPr="00865EF3">
        <w:rPr>
          <w:rFonts w:ascii="Montserrat" w:hAnsi="Montserrat" w:cs="Times New Roman"/>
        </w:rPr>
        <w:t>que</w:t>
      </w:r>
      <w:r w:rsidR="00EE3CA7" w:rsidRPr="00865EF3">
        <w:rPr>
          <w:rFonts w:ascii="Montserrat" w:hAnsi="Montserrat" w:cs="Times New Roman"/>
        </w:rPr>
        <w:t xml:space="preserve"> </w:t>
      </w:r>
      <w:r w:rsidRPr="00865EF3">
        <w:rPr>
          <w:rFonts w:ascii="Montserrat" w:hAnsi="Montserrat" w:cs="Times New Roman"/>
        </w:rPr>
        <w:t>se ajustaron las metas</w:t>
      </w:r>
      <w:r w:rsidR="00AB6E7B" w:rsidRPr="00865EF3">
        <w:rPr>
          <w:rFonts w:ascii="Montserrat" w:hAnsi="Montserrat" w:cs="Times New Roman"/>
        </w:rPr>
        <w:t xml:space="preserve"> de forma </w:t>
      </w:r>
      <w:r w:rsidR="00E54C04" w:rsidRPr="00865EF3">
        <w:rPr>
          <w:rFonts w:ascii="Montserrat" w:hAnsi="Montserrat" w:cs="Times New Roman"/>
        </w:rPr>
        <w:t>oportuna</w:t>
      </w:r>
      <w:r w:rsidRPr="00865EF3">
        <w:rPr>
          <w:rFonts w:ascii="Montserrat" w:hAnsi="Montserrat" w:cs="Times New Roman"/>
        </w:rPr>
        <w:t xml:space="preserve"> y se cumplió con lo que se </w:t>
      </w:r>
      <w:r w:rsidR="00AB6E7B" w:rsidRPr="00865EF3">
        <w:rPr>
          <w:rFonts w:ascii="Montserrat" w:hAnsi="Montserrat" w:cs="Times New Roman"/>
        </w:rPr>
        <w:t>tenía p</w:t>
      </w:r>
      <w:r w:rsidR="00E54C04" w:rsidRPr="00865EF3">
        <w:rPr>
          <w:rFonts w:ascii="Montserrat" w:hAnsi="Montserrat" w:cs="Times New Roman"/>
        </w:rPr>
        <w:t>lanificado</w:t>
      </w:r>
      <w:r w:rsidR="00AB6E7B" w:rsidRPr="00865EF3">
        <w:rPr>
          <w:rFonts w:ascii="Montserrat" w:hAnsi="Montserrat" w:cs="Times New Roman"/>
        </w:rPr>
        <w:t xml:space="preserve">, </w:t>
      </w:r>
      <w:r w:rsidRPr="00865EF3">
        <w:rPr>
          <w:rFonts w:ascii="Montserrat" w:hAnsi="Montserrat" w:cs="Times New Roman"/>
        </w:rPr>
        <w:t xml:space="preserve">a pesar de que en el primer </w:t>
      </w:r>
      <w:r w:rsidR="00AB6E7B" w:rsidRPr="00865EF3">
        <w:rPr>
          <w:rFonts w:ascii="Montserrat" w:hAnsi="Montserrat" w:cs="Times New Roman"/>
        </w:rPr>
        <w:t>t</w:t>
      </w:r>
      <w:r w:rsidRPr="00865EF3">
        <w:rPr>
          <w:rFonts w:ascii="Montserrat" w:hAnsi="Montserrat" w:cs="Times New Roman"/>
        </w:rPr>
        <w:t xml:space="preserve">rimestre de 2023 se aprobaron </w:t>
      </w:r>
      <w:r w:rsidR="00AB6E7B" w:rsidRPr="00865EF3">
        <w:rPr>
          <w:rFonts w:ascii="Montserrat" w:hAnsi="Montserrat" w:cs="Times New Roman"/>
        </w:rPr>
        <w:t xml:space="preserve">más proyectos de los que se tenían </w:t>
      </w:r>
      <w:r w:rsidR="00E54C04" w:rsidRPr="00865EF3">
        <w:rPr>
          <w:rFonts w:ascii="Montserrat" w:hAnsi="Montserrat" w:cs="Times New Roman"/>
        </w:rPr>
        <w:t>pronosticados en un inicio</w:t>
      </w:r>
      <w:r w:rsidR="00AB6E7B" w:rsidRPr="00865EF3">
        <w:rPr>
          <w:rFonts w:ascii="Montserrat" w:hAnsi="Montserrat" w:cs="Times New Roman"/>
        </w:rPr>
        <w:t>.</w:t>
      </w:r>
    </w:p>
    <w:p w14:paraId="7CEF0F33" w14:textId="7A270286" w:rsidR="000A7443" w:rsidRPr="00865EF3" w:rsidRDefault="000A7443" w:rsidP="00D84350">
      <w:pPr>
        <w:pStyle w:val="Prrafodelista"/>
        <w:jc w:val="both"/>
        <w:rPr>
          <w:rFonts w:ascii="Montserrat" w:hAnsi="Montserrat" w:cs="Times New Roman"/>
        </w:rPr>
      </w:pPr>
    </w:p>
    <w:p w14:paraId="4598B734" w14:textId="4DE27F2F" w:rsidR="000A7443" w:rsidRPr="00865EF3" w:rsidRDefault="00AB6E7B" w:rsidP="00D84350">
      <w:pPr>
        <w:pStyle w:val="Prrafodelista"/>
        <w:jc w:val="both"/>
        <w:rPr>
          <w:rFonts w:ascii="Montserrat" w:hAnsi="Montserrat" w:cs="Times New Roman"/>
        </w:rPr>
      </w:pPr>
      <w:r w:rsidRPr="00865EF3">
        <w:rPr>
          <w:rFonts w:ascii="Montserrat" w:hAnsi="Montserrat" w:cs="Times New Roman"/>
        </w:rPr>
        <w:t xml:space="preserve">En lo que refiere al </w:t>
      </w:r>
      <w:r w:rsidRPr="00865EF3">
        <w:rPr>
          <w:rFonts w:ascii="Montserrat" w:hAnsi="Montserrat" w:cs="Times New Roman"/>
          <w:b/>
        </w:rPr>
        <w:t>P</w:t>
      </w:r>
      <w:r w:rsidR="000A7443" w:rsidRPr="00865EF3">
        <w:rPr>
          <w:rFonts w:ascii="Montserrat" w:hAnsi="Montserrat" w:cs="Times New Roman"/>
          <w:b/>
        </w:rPr>
        <w:t>rograma P001 “Diseño y evaluación de políticas en ciencia, tecnología e innovación”</w:t>
      </w:r>
      <w:r w:rsidR="00D50131" w:rsidRPr="00865EF3">
        <w:rPr>
          <w:rFonts w:ascii="Montserrat" w:hAnsi="Montserrat" w:cs="Times New Roman"/>
        </w:rPr>
        <w:t xml:space="preserve"> </w:t>
      </w:r>
      <w:r w:rsidRPr="00865EF3">
        <w:rPr>
          <w:rFonts w:ascii="Montserrat" w:hAnsi="Montserrat" w:cs="Times New Roman"/>
        </w:rPr>
        <w:t xml:space="preserve">el </w:t>
      </w:r>
      <w:r w:rsidR="00D50131" w:rsidRPr="00865EF3">
        <w:rPr>
          <w:rFonts w:ascii="Montserrat" w:hAnsi="Montserrat" w:cs="Times New Roman"/>
        </w:rPr>
        <w:t>indicador</w:t>
      </w:r>
      <w:r w:rsidRPr="00865EF3">
        <w:rPr>
          <w:rFonts w:ascii="Montserrat" w:hAnsi="Montserrat" w:cs="Times New Roman"/>
        </w:rPr>
        <w:t xml:space="preserve"> </w:t>
      </w:r>
      <w:r w:rsidRPr="00865EF3">
        <w:rPr>
          <w:rFonts w:ascii="Montserrat" w:hAnsi="Montserrat" w:cs="Times New Roman"/>
          <w:i/>
        </w:rPr>
        <w:t>“Porcentaje de actividades de monitoreo de ASM realizadas”</w:t>
      </w:r>
      <w:r w:rsidR="00D50131" w:rsidRPr="00865EF3">
        <w:rPr>
          <w:rFonts w:ascii="Montserrat" w:hAnsi="Montserrat" w:cs="Times New Roman"/>
        </w:rPr>
        <w:t xml:space="preserve"> </w:t>
      </w:r>
      <w:r w:rsidR="009D6E0A" w:rsidRPr="00865EF3">
        <w:rPr>
          <w:rFonts w:ascii="Montserrat" w:hAnsi="Montserrat" w:cs="Times New Roman"/>
        </w:rPr>
        <w:t xml:space="preserve">tuvo un complimiento </w:t>
      </w:r>
      <w:r w:rsidR="00E54C04" w:rsidRPr="00865EF3">
        <w:rPr>
          <w:rFonts w:ascii="Montserrat" w:hAnsi="Montserrat" w:cs="Times New Roman"/>
        </w:rPr>
        <w:t>satisfactorio</w:t>
      </w:r>
      <w:r w:rsidR="009D6E0A" w:rsidRPr="00865EF3">
        <w:rPr>
          <w:rFonts w:ascii="Montserrat" w:hAnsi="Montserrat" w:cs="Times New Roman"/>
        </w:rPr>
        <w:t xml:space="preserve">, dado que </w:t>
      </w:r>
      <w:r w:rsidR="006D5CC0" w:rsidRPr="00865EF3">
        <w:rPr>
          <w:rFonts w:ascii="Montserrat" w:hAnsi="Montserrat" w:cs="Times New Roman"/>
        </w:rPr>
        <w:t xml:space="preserve">se lograron solventar la totalidad de los ASM que el Conacyt tenía comprometidos. </w:t>
      </w:r>
    </w:p>
    <w:p w14:paraId="4FF001A9" w14:textId="457C9120" w:rsidR="006D5CC0" w:rsidRPr="00865EF3" w:rsidRDefault="006D5CC0" w:rsidP="00D84350">
      <w:pPr>
        <w:pStyle w:val="Prrafodelista"/>
        <w:jc w:val="both"/>
        <w:rPr>
          <w:rFonts w:ascii="Montserrat" w:hAnsi="Montserrat" w:cs="Times New Roman"/>
        </w:rPr>
      </w:pPr>
    </w:p>
    <w:p w14:paraId="56D86592" w14:textId="257461A9" w:rsidR="006D5CC0" w:rsidRPr="00865EF3" w:rsidRDefault="006D5CC0" w:rsidP="00D84350">
      <w:pPr>
        <w:pStyle w:val="Prrafodelista"/>
        <w:jc w:val="both"/>
        <w:rPr>
          <w:rFonts w:ascii="Montserrat" w:hAnsi="Montserrat" w:cs="Times New Roman"/>
        </w:rPr>
      </w:pPr>
      <w:r w:rsidRPr="00865EF3">
        <w:rPr>
          <w:rFonts w:ascii="Montserrat" w:hAnsi="Montserrat" w:cs="Times New Roman"/>
        </w:rPr>
        <w:t xml:space="preserve">Otro aspecto relevante y positivo, es que el CONEVAL aprobó la MIR actualizada del </w:t>
      </w:r>
      <w:r w:rsidRPr="00865EF3">
        <w:rPr>
          <w:rFonts w:ascii="Montserrat" w:hAnsi="Montserrat" w:cs="Times New Roman"/>
          <w:b/>
        </w:rPr>
        <w:t>P</w:t>
      </w:r>
      <w:r w:rsidR="00E54C04" w:rsidRPr="00865EF3">
        <w:rPr>
          <w:rFonts w:ascii="Montserrat" w:hAnsi="Montserrat" w:cs="Times New Roman"/>
          <w:b/>
        </w:rPr>
        <w:t>rograma</w:t>
      </w:r>
      <w:r w:rsidRPr="00865EF3">
        <w:rPr>
          <w:rFonts w:ascii="Montserrat" w:hAnsi="Montserrat" w:cs="Times New Roman"/>
          <w:b/>
        </w:rPr>
        <w:t xml:space="preserve"> S190 “Becas de posgrado y apoyos a la calidad”</w:t>
      </w:r>
      <w:r w:rsidRPr="00865EF3">
        <w:rPr>
          <w:rFonts w:ascii="Montserrat" w:hAnsi="Montserrat" w:cs="Times New Roman"/>
        </w:rPr>
        <w:t>, la cual, ya</w:t>
      </w:r>
      <w:r w:rsidR="00661099" w:rsidRPr="00865EF3">
        <w:rPr>
          <w:rFonts w:ascii="Montserrat" w:hAnsi="Montserrat" w:cs="Times New Roman"/>
        </w:rPr>
        <w:t xml:space="preserve"> se registró en el PASH y</w:t>
      </w:r>
      <w:r w:rsidRPr="00865EF3">
        <w:rPr>
          <w:rFonts w:ascii="Montserrat" w:hAnsi="Montserrat" w:cs="Times New Roman"/>
        </w:rPr>
        <w:t xml:space="preserve"> se encuentra alineada a la nueva normatividad del Programa, es decir, Reglamento y Reglas de Operación. Por tanto, este P</w:t>
      </w:r>
      <w:r w:rsidR="00E54C04" w:rsidRPr="00865EF3">
        <w:rPr>
          <w:rFonts w:ascii="Montserrat" w:hAnsi="Montserrat" w:cs="Times New Roman"/>
        </w:rPr>
        <w:t>rograma</w:t>
      </w:r>
      <w:r w:rsidRPr="00865EF3">
        <w:rPr>
          <w:rFonts w:ascii="Montserrat" w:hAnsi="Montserrat" w:cs="Times New Roman"/>
        </w:rPr>
        <w:t xml:space="preserve"> contará ahora con indicadores trimestrales que permitirán </w:t>
      </w:r>
      <w:r w:rsidR="00054A98" w:rsidRPr="00865EF3">
        <w:rPr>
          <w:rFonts w:ascii="Montserrat" w:hAnsi="Montserrat" w:cs="Times New Roman"/>
        </w:rPr>
        <w:t xml:space="preserve">darle un monitoreo más </w:t>
      </w:r>
      <w:r w:rsidR="00431D5B" w:rsidRPr="00865EF3">
        <w:rPr>
          <w:rFonts w:ascii="Montserrat" w:hAnsi="Montserrat" w:cs="Times New Roman"/>
        </w:rPr>
        <w:t>pertinente</w:t>
      </w:r>
      <w:r w:rsidR="00E54C04" w:rsidRPr="00865EF3">
        <w:rPr>
          <w:rFonts w:ascii="Montserrat" w:hAnsi="Montserrat" w:cs="Times New Roman"/>
        </w:rPr>
        <w:t>.</w:t>
      </w:r>
    </w:p>
    <w:p w14:paraId="62ACBED1" w14:textId="1821367E" w:rsidR="00030E7A" w:rsidRPr="00865EF3" w:rsidRDefault="00030E7A" w:rsidP="00D84350">
      <w:pPr>
        <w:pStyle w:val="Prrafodelista"/>
        <w:jc w:val="both"/>
        <w:rPr>
          <w:rFonts w:ascii="Montserrat" w:hAnsi="Montserrat" w:cs="Times New Roman"/>
        </w:rPr>
      </w:pPr>
    </w:p>
    <w:p w14:paraId="626F7DA4" w14:textId="7CD3637D" w:rsidR="00E86B4F" w:rsidRPr="00865EF3" w:rsidRDefault="00661099" w:rsidP="006F43A3">
      <w:pPr>
        <w:pStyle w:val="Prrafodelista"/>
        <w:jc w:val="both"/>
        <w:rPr>
          <w:rFonts w:ascii="Montserrat" w:hAnsi="Montserrat" w:cs="Times New Roman"/>
        </w:rPr>
      </w:pPr>
      <w:r w:rsidRPr="00865EF3">
        <w:rPr>
          <w:rFonts w:ascii="Montserrat" w:hAnsi="Montserrat" w:cs="Times New Roman"/>
        </w:rPr>
        <w:t xml:space="preserve">De manera concreta, </w:t>
      </w:r>
      <w:r w:rsidR="00030E7A" w:rsidRPr="00865EF3">
        <w:rPr>
          <w:rFonts w:ascii="Montserrat" w:hAnsi="Montserrat" w:cs="Times New Roman"/>
        </w:rPr>
        <w:t>e</w:t>
      </w:r>
      <w:r w:rsidRPr="00865EF3">
        <w:rPr>
          <w:rFonts w:ascii="Montserrat" w:hAnsi="Montserrat" w:cs="Times New Roman"/>
        </w:rPr>
        <w:t>ste</w:t>
      </w:r>
      <w:r w:rsidR="00030E7A" w:rsidRPr="00865EF3">
        <w:rPr>
          <w:rFonts w:ascii="Montserrat" w:hAnsi="Montserrat" w:cs="Times New Roman"/>
        </w:rPr>
        <w:t xml:space="preserve"> </w:t>
      </w:r>
      <w:r w:rsidRPr="00865EF3">
        <w:rPr>
          <w:rFonts w:ascii="Montserrat" w:hAnsi="Montserrat" w:cs="Times New Roman"/>
        </w:rPr>
        <w:t>P</w:t>
      </w:r>
      <w:r w:rsidR="00030E7A" w:rsidRPr="00865EF3">
        <w:rPr>
          <w:rFonts w:ascii="Montserrat" w:hAnsi="Montserrat" w:cs="Times New Roman"/>
        </w:rPr>
        <w:t>rograma reportó</w:t>
      </w:r>
      <w:r w:rsidR="00B20F5D" w:rsidRPr="00865EF3">
        <w:rPr>
          <w:rFonts w:ascii="Montserrat" w:hAnsi="Montserrat" w:cs="Times New Roman"/>
        </w:rPr>
        <w:t xml:space="preserve"> información de</w:t>
      </w:r>
      <w:r w:rsidR="00030E7A" w:rsidRPr="00865EF3">
        <w:rPr>
          <w:rFonts w:ascii="Montserrat" w:hAnsi="Montserrat" w:cs="Times New Roman"/>
        </w:rPr>
        <w:t xml:space="preserve"> </w:t>
      </w:r>
      <w:r w:rsidRPr="00865EF3">
        <w:rPr>
          <w:rFonts w:ascii="Montserrat" w:hAnsi="Montserrat" w:cs="Times New Roman"/>
        </w:rPr>
        <w:t>3</w:t>
      </w:r>
      <w:r w:rsidR="00030E7A" w:rsidRPr="00865EF3">
        <w:rPr>
          <w:rFonts w:ascii="Montserrat" w:hAnsi="Montserrat" w:cs="Times New Roman"/>
        </w:rPr>
        <w:t xml:space="preserve"> indicadores</w:t>
      </w:r>
      <w:r w:rsidRPr="00865EF3">
        <w:rPr>
          <w:rFonts w:ascii="Montserrat" w:hAnsi="Montserrat" w:cs="Times New Roman"/>
        </w:rPr>
        <w:t xml:space="preserve"> </w:t>
      </w:r>
      <w:r w:rsidR="00B20F5D" w:rsidRPr="00865EF3">
        <w:rPr>
          <w:rFonts w:ascii="Montserrat" w:hAnsi="Montserrat" w:cs="Times New Roman"/>
        </w:rPr>
        <w:t>para este trimestre</w:t>
      </w:r>
      <w:r w:rsidRPr="00865EF3">
        <w:rPr>
          <w:rFonts w:ascii="Montserrat" w:hAnsi="Montserrat" w:cs="Times New Roman"/>
        </w:rPr>
        <w:t xml:space="preserve">. </w:t>
      </w:r>
      <w:r w:rsidR="00030E7A" w:rsidRPr="00865EF3">
        <w:rPr>
          <w:rFonts w:ascii="Montserrat" w:hAnsi="Montserrat" w:cs="Times New Roman"/>
        </w:rPr>
        <w:t xml:space="preserve"> </w:t>
      </w:r>
      <w:r w:rsidRPr="00865EF3">
        <w:rPr>
          <w:rFonts w:ascii="Montserrat" w:hAnsi="Montserrat" w:cs="Times New Roman"/>
        </w:rPr>
        <w:t xml:space="preserve">De estos, el de </w:t>
      </w:r>
      <w:r w:rsidRPr="00865EF3">
        <w:rPr>
          <w:rFonts w:ascii="Montserrat" w:hAnsi="Montserrat" w:cs="Times New Roman"/>
          <w:i/>
        </w:rPr>
        <w:t>“Porcentaje de solicitudes de beca o apoyo que cumplieron con los requisitos de elegibilidad para ser persona beneficiada del programa”</w:t>
      </w:r>
      <w:r w:rsidRPr="00865EF3">
        <w:rPr>
          <w:rFonts w:ascii="Montserrat" w:hAnsi="Montserrat" w:cs="Times New Roman"/>
        </w:rPr>
        <w:t xml:space="preserve"> y el de </w:t>
      </w:r>
      <w:r w:rsidRPr="00865EF3">
        <w:rPr>
          <w:rFonts w:ascii="Montserrat" w:hAnsi="Montserrat" w:cs="Times New Roman"/>
          <w:i/>
        </w:rPr>
        <w:t>“Porcentaje de convocatorias publicadas”</w:t>
      </w:r>
      <w:r w:rsidRPr="00865EF3">
        <w:rPr>
          <w:rFonts w:ascii="Montserrat" w:hAnsi="Montserrat" w:cs="Times New Roman"/>
        </w:rPr>
        <w:t xml:space="preserve">, se ubicaron dentro del rango de cumplimiento </w:t>
      </w:r>
      <w:r w:rsidR="0056751F" w:rsidRPr="00865EF3">
        <w:rPr>
          <w:rFonts w:ascii="Montserrat" w:hAnsi="Montserrat" w:cs="Times New Roman"/>
        </w:rPr>
        <w:t>apropiado</w:t>
      </w:r>
      <w:r w:rsidRPr="00865EF3">
        <w:rPr>
          <w:rFonts w:ascii="Montserrat" w:hAnsi="Montserrat" w:cs="Times New Roman"/>
        </w:rPr>
        <w:t xml:space="preserve">, en tanto </w:t>
      </w:r>
      <w:r w:rsidR="006F43A3" w:rsidRPr="00865EF3">
        <w:rPr>
          <w:rFonts w:ascii="Montserrat" w:hAnsi="Montserrat" w:cs="Times New Roman"/>
        </w:rPr>
        <w:t xml:space="preserve">que el indicador </w:t>
      </w:r>
      <w:r w:rsidR="006F43A3" w:rsidRPr="00865EF3">
        <w:rPr>
          <w:rFonts w:ascii="Montserrat" w:hAnsi="Montserrat" w:cs="Times New Roman"/>
          <w:i/>
        </w:rPr>
        <w:t>“Porcentaje de becas o apoyos formalizadas”</w:t>
      </w:r>
      <w:r w:rsidR="006F43A3" w:rsidRPr="00865EF3">
        <w:rPr>
          <w:rFonts w:ascii="Montserrat" w:hAnsi="Montserrat" w:cs="Times New Roman"/>
        </w:rPr>
        <w:t>, rebasó lo proyectado a razón de que</w:t>
      </w:r>
      <w:r w:rsidR="00E86B4F" w:rsidRPr="00865EF3">
        <w:rPr>
          <w:rFonts w:ascii="Montserrat" w:hAnsi="Montserrat" w:cs="Times New Roman"/>
        </w:rPr>
        <w:t xml:space="preserve"> </w:t>
      </w:r>
      <w:r w:rsidR="006F43A3" w:rsidRPr="00865EF3">
        <w:rPr>
          <w:rFonts w:ascii="Montserrat" w:hAnsi="Montserrat" w:cs="Times New Roman"/>
        </w:rPr>
        <w:t>d</w:t>
      </w:r>
      <w:r w:rsidR="00E86B4F" w:rsidRPr="00865EF3">
        <w:rPr>
          <w:rFonts w:ascii="Montserrat" w:hAnsi="Montserrat" w:cs="Times New Roman"/>
        </w:rPr>
        <w:t>el total de solicitudes que cumplieron con los requisitos de elegibilidad, un alto número de éstas, pudieron formalizar el apoyo conforme a lo establecido en el calendario de la convocatoria.</w:t>
      </w:r>
    </w:p>
    <w:p w14:paraId="0C34BAF7" w14:textId="77777777" w:rsidR="000A7443" w:rsidRPr="00865EF3" w:rsidRDefault="000A7443" w:rsidP="00D84350">
      <w:pPr>
        <w:pStyle w:val="Prrafodelista"/>
        <w:jc w:val="both"/>
        <w:rPr>
          <w:rFonts w:ascii="Montserrat" w:hAnsi="Montserrat" w:cs="Times New Roman"/>
        </w:rPr>
      </w:pPr>
    </w:p>
    <w:p w14:paraId="16B0B354" w14:textId="73D8D2C7" w:rsidR="00030E7A" w:rsidRPr="00865EF3" w:rsidRDefault="00FD48FF" w:rsidP="00D84350">
      <w:pPr>
        <w:pStyle w:val="Prrafodelista"/>
        <w:jc w:val="both"/>
        <w:rPr>
          <w:rFonts w:ascii="Montserrat" w:hAnsi="Montserrat" w:cs="Times New Roman"/>
        </w:rPr>
      </w:pPr>
      <w:r w:rsidRPr="00865EF3">
        <w:rPr>
          <w:rFonts w:ascii="Montserrat" w:hAnsi="Montserrat" w:cs="Times New Roman"/>
        </w:rPr>
        <w:t>Finalmente, en lo que atañe al</w:t>
      </w:r>
      <w:r w:rsidR="00D84350" w:rsidRPr="00865EF3">
        <w:rPr>
          <w:rFonts w:ascii="Montserrat" w:hAnsi="Montserrat" w:cs="Times New Roman"/>
        </w:rPr>
        <w:t xml:space="preserve"> </w:t>
      </w:r>
      <w:r w:rsidR="00D84350" w:rsidRPr="00865EF3">
        <w:rPr>
          <w:rFonts w:ascii="Montserrat" w:hAnsi="Montserrat" w:cs="Times New Roman"/>
          <w:b/>
        </w:rPr>
        <w:t>Programa S191 “Sistema Nacional de Investigadores”</w:t>
      </w:r>
      <w:r w:rsidR="00D84350" w:rsidRPr="00865EF3">
        <w:rPr>
          <w:rFonts w:ascii="Montserrat" w:hAnsi="Montserrat" w:cs="Times New Roman"/>
        </w:rPr>
        <w:t xml:space="preserve">, </w:t>
      </w:r>
      <w:r w:rsidR="00CA4A9A" w:rsidRPr="00865EF3">
        <w:rPr>
          <w:rFonts w:ascii="Montserrat" w:hAnsi="Montserrat" w:cs="Times New Roman"/>
        </w:rPr>
        <w:t xml:space="preserve">tuvo </w:t>
      </w:r>
      <w:r w:rsidR="00030E7A" w:rsidRPr="00865EF3">
        <w:rPr>
          <w:rFonts w:ascii="Montserrat" w:hAnsi="Montserrat" w:cs="Times New Roman"/>
        </w:rPr>
        <w:t>4 indicadores en un rango</w:t>
      </w:r>
      <w:r w:rsidR="0097439F" w:rsidRPr="00865EF3">
        <w:rPr>
          <w:rFonts w:ascii="Montserrat" w:hAnsi="Montserrat" w:cs="Times New Roman"/>
        </w:rPr>
        <w:t xml:space="preserve"> de cumplimiento satisfactorio, lo que se explica porque las y los </w:t>
      </w:r>
      <w:r w:rsidR="002837A4" w:rsidRPr="00865EF3">
        <w:rPr>
          <w:rFonts w:ascii="Montserrat" w:hAnsi="Montserrat" w:cs="Times New Roman"/>
        </w:rPr>
        <w:t>investigadores</w:t>
      </w:r>
      <w:r w:rsidR="00030E7A" w:rsidRPr="00865EF3">
        <w:rPr>
          <w:rFonts w:ascii="Montserrat" w:hAnsi="Montserrat" w:cs="Times New Roman"/>
        </w:rPr>
        <w:t xml:space="preserve"> </w:t>
      </w:r>
      <w:r w:rsidR="0056751F" w:rsidRPr="00865EF3">
        <w:rPr>
          <w:rFonts w:ascii="Montserrat" w:hAnsi="Montserrat" w:cs="Times New Roman"/>
        </w:rPr>
        <w:t xml:space="preserve">en los niveles de </w:t>
      </w:r>
      <w:r w:rsidR="00030E7A" w:rsidRPr="00865EF3">
        <w:rPr>
          <w:rFonts w:ascii="Montserrat" w:hAnsi="Montserrat" w:cs="Times New Roman"/>
        </w:rPr>
        <w:t>candidato, I, II y</w:t>
      </w:r>
      <w:r w:rsidR="0056751F" w:rsidRPr="00865EF3">
        <w:rPr>
          <w:rFonts w:ascii="Montserrat" w:hAnsi="Montserrat" w:cs="Times New Roman"/>
        </w:rPr>
        <w:t xml:space="preserve"> </w:t>
      </w:r>
      <w:r w:rsidR="00030E7A" w:rsidRPr="00865EF3">
        <w:rPr>
          <w:rFonts w:ascii="Montserrat" w:hAnsi="Montserrat" w:cs="Times New Roman"/>
        </w:rPr>
        <w:t xml:space="preserve">III cumplieron con los requisitos </w:t>
      </w:r>
      <w:r w:rsidR="0097439F" w:rsidRPr="00865EF3">
        <w:rPr>
          <w:rFonts w:ascii="Montserrat" w:hAnsi="Montserrat" w:cs="Times New Roman"/>
        </w:rPr>
        <w:t xml:space="preserve">normativos </w:t>
      </w:r>
      <w:r w:rsidR="00030E7A" w:rsidRPr="00865EF3">
        <w:rPr>
          <w:rFonts w:ascii="Montserrat" w:hAnsi="Montserrat" w:cs="Times New Roman"/>
        </w:rPr>
        <w:t xml:space="preserve">para la entrega del apoyo económico, establecidos en el nuevo Reglamento del Sistema </w:t>
      </w:r>
      <w:r w:rsidR="00030E7A" w:rsidRPr="00865EF3">
        <w:rPr>
          <w:rFonts w:ascii="Montserrat" w:hAnsi="Montserrat" w:cs="Times New Roman"/>
        </w:rPr>
        <w:lastRenderedPageBreak/>
        <w:t>Nacional de Investigadores.</w:t>
      </w:r>
      <w:r w:rsidR="001D0260" w:rsidRPr="00865EF3">
        <w:rPr>
          <w:rFonts w:ascii="Montserrat" w:hAnsi="Montserrat" w:cs="Times New Roman"/>
        </w:rPr>
        <w:t xml:space="preserve"> Específicamente, aludimos a los siguientes indicadores:</w:t>
      </w:r>
    </w:p>
    <w:p w14:paraId="17F910B1" w14:textId="77777777" w:rsidR="001D0260" w:rsidRPr="00865EF3" w:rsidRDefault="001D0260" w:rsidP="001D0260">
      <w:pPr>
        <w:pStyle w:val="Prrafodelista"/>
        <w:jc w:val="both"/>
        <w:rPr>
          <w:rFonts w:ascii="Montserrat" w:hAnsi="Montserrat" w:cs="Times New Roman"/>
        </w:rPr>
      </w:pPr>
    </w:p>
    <w:p w14:paraId="0531B5BE" w14:textId="3756DAAF" w:rsidR="001D0260" w:rsidRPr="00865EF3" w:rsidRDefault="001D0260" w:rsidP="001D0260">
      <w:pPr>
        <w:pStyle w:val="Prrafodelista"/>
        <w:jc w:val="both"/>
        <w:rPr>
          <w:rFonts w:ascii="Montserrat" w:hAnsi="Montserrat" w:cs="Times New Roman"/>
          <w:i/>
        </w:rPr>
      </w:pPr>
      <w:r w:rsidRPr="00865EF3">
        <w:rPr>
          <w:rFonts w:ascii="Montserrat" w:hAnsi="Montserrat" w:cs="Times New Roman"/>
          <w:i/>
        </w:rPr>
        <w:t>“Porcentaje de estímulos económicos de la modalidad Candidato a Investigador Nacional con respecto al total de miembros del SNI entregados”</w:t>
      </w:r>
    </w:p>
    <w:p w14:paraId="5F15DAEA" w14:textId="007CAE3B" w:rsidR="001D0260" w:rsidRPr="00865EF3" w:rsidRDefault="001D0260" w:rsidP="001D0260">
      <w:pPr>
        <w:pStyle w:val="Prrafodelista"/>
        <w:jc w:val="both"/>
        <w:rPr>
          <w:rFonts w:ascii="Montserrat" w:hAnsi="Montserrat" w:cs="Times New Roman"/>
          <w:i/>
        </w:rPr>
      </w:pPr>
      <w:r w:rsidRPr="00865EF3">
        <w:rPr>
          <w:rFonts w:ascii="Montserrat" w:hAnsi="Montserrat" w:cs="Times New Roman"/>
          <w:i/>
        </w:rPr>
        <w:t>“Porcentaje de estímulos económicos de la modalidad Investigador Nacional Nivel I con respecto al total de miembros del SNI entregados”</w:t>
      </w:r>
    </w:p>
    <w:p w14:paraId="647C393E" w14:textId="02FB202B" w:rsidR="001D0260" w:rsidRPr="00865EF3" w:rsidRDefault="001D0260" w:rsidP="001D0260">
      <w:pPr>
        <w:pStyle w:val="Prrafodelista"/>
        <w:jc w:val="both"/>
        <w:rPr>
          <w:rFonts w:ascii="Montserrat" w:hAnsi="Montserrat" w:cs="Times New Roman"/>
          <w:i/>
        </w:rPr>
      </w:pPr>
      <w:r w:rsidRPr="00865EF3">
        <w:rPr>
          <w:rFonts w:ascii="Montserrat" w:hAnsi="Montserrat" w:cs="Times New Roman"/>
          <w:i/>
        </w:rPr>
        <w:t>“Porcentaje de estímulos económicos de la modalidad Investigador Nacional Nivel II con respecto al total de miembros del SNI entregados”</w:t>
      </w:r>
    </w:p>
    <w:p w14:paraId="73AC4EFC" w14:textId="6BA5C32D" w:rsidR="001D0260" w:rsidRPr="00865EF3" w:rsidRDefault="001D0260" w:rsidP="001D0260">
      <w:pPr>
        <w:pStyle w:val="Prrafodelista"/>
        <w:jc w:val="both"/>
        <w:rPr>
          <w:rFonts w:ascii="Montserrat" w:hAnsi="Montserrat" w:cs="Times New Roman"/>
          <w:i/>
        </w:rPr>
      </w:pPr>
      <w:r w:rsidRPr="00865EF3">
        <w:rPr>
          <w:rFonts w:ascii="Montserrat" w:hAnsi="Montserrat" w:cs="Times New Roman"/>
          <w:i/>
        </w:rPr>
        <w:t>“Porcentaje de estímulos económicos de la modalidad Investigador Nacional Nivel III e Investigadores Eméritos con respecto al total de miembros del SNI entregados”</w:t>
      </w:r>
    </w:p>
    <w:p w14:paraId="123FAD52" w14:textId="77777777" w:rsidR="00FD48FF" w:rsidRPr="00865EF3" w:rsidRDefault="00FD48FF" w:rsidP="00B61692">
      <w:pPr>
        <w:jc w:val="both"/>
        <w:rPr>
          <w:rFonts w:ascii="Montserrat" w:hAnsi="Montserrat" w:cs="Times New Roman"/>
        </w:rPr>
      </w:pPr>
    </w:p>
    <w:p w14:paraId="442AE2A0" w14:textId="6B63D236" w:rsidR="002837A4" w:rsidRPr="00865EF3" w:rsidRDefault="002466B2" w:rsidP="00D84350">
      <w:pPr>
        <w:pStyle w:val="Prrafodelista"/>
        <w:jc w:val="both"/>
        <w:rPr>
          <w:rFonts w:ascii="Montserrat" w:hAnsi="Montserrat" w:cs="Times New Roman"/>
        </w:rPr>
      </w:pPr>
      <w:r w:rsidRPr="00865EF3">
        <w:rPr>
          <w:rFonts w:ascii="Montserrat" w:hAnsi="Montserrat" w:cs="Times New Roman"/>
        </w:rPr>
        <w:t xml:space="preserve">En </w:t>
      </w:r>
      <w:r w:rsidR="00CF0B23" w:rsidRPr="00865EF3">
        <w:rPr>
          <w:rFonts w:ascii="Montserrat" w:hAnsi="Montserrat" w:cs="Times New Roman"/>
        </w:rPr>
        <w:t>contraste, el</w:t>
      </w:r>
      <w:r w:rsidRPr="00865EF3">
        <w:rPr>
          <w:rFonts w:ascii="Montserrat" w:hAnsi="Montserrat" w:cs="Times New Roman"/>
        </w:rPr>
        <w:t xml:space="preserve"> indicador </w:t>
      </w:r>
      <w:r w:rsidRPr="00865EF3">
        <w:rPr>
          <w:rFonts w:ascii="Montserrat" w:hAnsi="Montserrat" w:cs="Times New Roman"/>
          <w:i/>
        </w:rPr>
        <w:t>“Porcentaje del presupuesto ejercido acumulado trimestralmente en la operación del programa”</w:t>
      </w:r>
      <w:r w:rsidRPr="00865EF3">
        <w:rPr>
          <w:rFonts w:ascii="Montserrat" w:hAnsi="Montserrat" w:cs="Times New Roman"/>
        </w:rPr>
        <w:t>, presentó</w:t>
      </w:r>
      <w:r w:rsidR="002837A4" w:rsidRPr="00865EF3">
        <w:rPr>
          <w:rFonts w:ascii="Montserrat" w:hAnsi="Montserrat" w:cs="Times New Roman"/>
        </w:rPr>
        <w:t xml:space="preserve"> un cumplimiento por encima del 115 por ciento, </w:t>
      </w:r>
      <w:r w:rsidR="00CA4A9A" w:rsidRPr="00865EF3">
        <w:rPr>
          <w:rFonts w:ascii="Montserrat" w:hAnsi="Montserrat" w:cs="Times New Roman"/>
        </w:rPr>
        <w:t xml:space="preserve">derivado de </w:t>
      </w:r>
      <w:r w:rsidR="002837A4" w:rsidRPr="00865EF3">
        <w:rPr>
          <w:rFonts w:ascii="Montserrat" w:hAnsi="Montserrat" w:cs="Times New Roman"/>
        </w:rPr>
        <w:t>que se observ</w:t>
      </w:r>
      <w:r w:rsidRPr="00865EF3">
        <w:rPr>
          <w:rFonts w:ascii="Montserrat" w:hAnsi="Montserrat" w:cs="Times New Roman"/>
        </w:rPr>
        <w:t>ó</w:t>
      </w:r>
      <w:r w:rsidR="002837A4" w:rsidRPr="00865EF3">
        <w:rPr>
          <w:rFonts w:ascii="Montserrat" w:hAnsi="Montserrat" w:cs="Times New Roman"/>
        </w:rPr>
        <w:t xml:space="preserve"> un monto pagado mayor a lo esperado</w:t>
      </w:r>
      <w:r w:rsidRPr="00865EF3">
        <w:rPr>
          <w:rFonts w:ascii="Montserrat" w:hAnsi="Montserrat" w:cs="Times New Roman"/>
        </w:rPr>
        <w:t>. Esto se explica, porque durante el 1er trimestre del año en curso</w:t>
      </w:r>
      <w:r w:rsidR="002837A4" w:rsidRPr="00865EF3">
        <w:rPr>
          <w:rFonts w:ascii="Montserrat" w:hAnsi="Montserrat" w:cs="Times New Roman"/>
        </w:rPr>
        <w:t xml:space="preserve"> se realizaron pagos por fallecimiento de </w:t>
      </w:r>
      <w:r w:rsidR="0046777A" w:rsidRPr="00865EF3">
        <w:rPr>
          <w:rFonts w:ascii="Montserrat" w:hAnsi="Montserrat" w:cs="Times New Roman"/>
        </w:rPr>
        <w:t xml:space="preserve">investigadoras e </w:t>
      </w:r>
      <w:r w:rsidR="002837A4" w:rsidRPr="00865EF3">
        <w:rPr>
          <w:rFonts w:ascii="Montserrat" w:hAnsi="Montserrat" w:cs="Times New Roman"/>
        </w:rPr>
        <w:t>investigadores</w:t>
      </w:r>
      <w:r w:rsidR="00CA4A9A" w:rsidRPr="00865EF3">
        <w:rPr>
          <w:rFonts w:ascii="Montserrat" w:hAnsi="Montserrat" w:cs="Times New Roman"/>
        </w:rPr>
        <w:t xml:space="preserve"> a los beneficiarios designados por estos</w:t>
      </w:r>
      <w:r w:rsidR="002837A4" w:rsidRPr="00865EF3">
        <w:rPr>
          <w:rFonts w:ascii="Montserrat" w:hAnsi="Montserrat" w:cs="Times New Roman"/>
        </w:rPr>
        <w:t xml:space="preserve">, </w:t>
      </w:r>
      <w:r w:rsidR="0046777A" w:rsidRPr="00865EF3">
        <w:rPr>
          <w:rFonts w:ascii="Montserrat" w:hAnsi="Montserrat" w:cs="Times New Roman"/>
        </w:rPr>
        <w:t xml:space="preserve">tal y como lo permite </w:t>
      </w:r>
      <w:r w:rsidR="002837A4" w:rsidRPr="00865EF3">
        <w:rPr>
          <w:rFonts w:ascii="Montserrat" w:hAnsi="Montserrat" w:cs="Times New Roman"/>
        </w:rPr>
        <w:t>el Reglamento del</w:t>
      </w:r>
      <w:r w:rsidR="0046777A" w:rsidRPr="00865EF3">
        <w:rPr>
          <w:rFonts w:ascii="Montserrat" w:hAnsi="Montserrat" w:cs="Times New Roman"/>
        </w:rPr>
        <w:t xml:space="preserve"> Programa</w:t>
      </w:r>
      <w:r w:rsidR="002837A4" w:rsidRPr="00865EF3">
        <w:rPr>
          <w:rFonts w:ascii="Montserrat" w:hAnsi="Montserrat" w:cs="Times New Roman"/>
        </w:rPr>
        <w:t>. Por otra parte, el denominador alcanzado durante el ejercicio fiscal es menor, debido a que al presupuesto asignado fue</w:t>
      </w:r>
      <w:r w:rsidR="0046777A" w:rsidRPr="00865EF3">
        <w:rPr>
          <w:rFonts w:ascii="Montserrat" w:hAnsi="Montserrat" w:cs="Times New Roman"/>
        </w:rPr>
        <w:t xml:space="preserve"> inferior</w:t>
      </w:r>
      <w:r w:rsidR="002837A4" w:rsidRPr="00865EF3">
        <w:rPr>
          <w:rFonts w:ascii="Montserrat" w:hAnsi="Montserrat" w:cs="Times New Roman"/>
        </w:rPr>
        <w:t xml:space="preserve"> a lo estimado.</w:t>
      </w:r>
    </w:p>
    <w:p w14:paraId="0BB649BC" w14:textId="77777777" w:rsidR="00D84350" w:rsidRPr="00865EF3" w:rsidRDefault="00D84350" w:rsidP="00D84350">
      <w:pPr>
        <w:spacing w:after="200" w:line="276" w:lineRule="auto"/>
        <w:jc w:val="both"/>
        <w:rPr>
          <w:rFonts w:ascii="Montserrat" w:eastAsia="Calibri" w:hAnsi="Montserrat" w:cs="Times New Roman"/>
          <w:lang w:val="es-MX" w:eastAsia="en-US"/>
        </w:rPr>
      </w:pPr>
    </w:p>
    <w:p w14:paraId="0C851BBD" w14:textId="267AF7E5" w:rsidR="00CC14FA" w:rsidRPr="00865EF3" w:rsidRDefault="00CC14FA" w:rsidP="00D84350">
      <w:pPr>
        <w:rPr>
          <w:rFonts w:ascii="Montserrat" w:hAnsi="Montserrat"/>
        </w:rPr>
      </w:pPr>
      <w:r w:rsidRPr="00865EF3">
        <w:rPr>
          <w:rFonts w:ascii="Montserrat" w:hAnsi="Montserrat"/>
        </w:rPr>
        <w:t xml:space="preserve"> </w:t>
      </w:r>
    </w:p>
    <w:sectPr w:rsidR="00CC14FA" w:rsidRPr="00865EF3" w:rsidSect="003C4AA1">
      <w:headerReference w:type="default" r:id="rId8"/>
      <w:pgSz w:w="12240" w:h="15840"/>
      <w:pgMar w:top="2269"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91F5" w14:textId="77777777" w:rsidR="007169FC" w:rsidRDefault="007169FC" w:rsidP="005C6F62">
      <w:r>
        <w:separator/>
      </w:r>
    </w:p>
  </w:endnote>
  <w:endnote w:type="continuationSeparator" w:id="0">
    <w:p w14:paraId="4CD85A2D" w14:textId="77777777" w:rsidR="007169FC" w:rsidRDefault="007169FC"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163E2" w14:textId="77777777" w:rsidR="007169FC" w:rsidRDefault="007169FC" w:rsidP="005C6F62">
      <w:r>
        <w:separator/>
      </w:r>
    </w:p>
  </w:footnote>
  <w:footnote w:type="continuationSeparator" w:id="0">
    <w:p w14:paraId="1244E2E6" w14:textId="77777777" w:rsidR="007169FC" w:rsidRDefault="007169FC"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2995" w14:textId="0E0CCFA1" w:rsidR="005C6F62" w:rsidRDefault="003B277E">
    <w:pPr>
      <w:pStyle w:val="Encabezado"/>
    </w:pPr>
    <w:r>
      <w:rPr>
        <w:noProof/>
        <w:lang w:val="es-ES"/>
      </w:rPr>
      <w:drawing>
        <wp:anchor distT="0" distB="0" distL="114300" distR="114300" simplePos="0" relativeHeight="251658240" behindDoc="1" locked="0" layoutInCell="1" allowOverlap="1" wp14:anchorId="1C860219" wp14:editId="615CA4F8">
          <wp:simplePos x="0" y="0"/>
          <wp:positionH relativeFrom="margin">
            <wp:posOffset>-706022</wp:posOffset>
          </wp:positionH>
          <wp:positionV relativeFrom="paragraph">
            <wp:posOffset>-436147</wp:posOffset>
          </wp:positionV>
          <wp:extent cx="7737383" cy="10078959"/>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7737383" cy="100789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157A"/>
    <w:multiLevelType w:val="hybridMultilevel"/>
    <w:tmpl w:val="520AB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887B45"/>
    <w:multiLevelType w:val="hybridMultilevel"/>
    <w:tmpl w:val="9FD43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44164"/>
    <w:multiLevelType w:val="hybridMultilevel"/>
    <w:tmpl w:val="DBCA7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62"/>
    <w:rsid w:val="00000EE0"/>
    <w:rsid w:val="00030E7A"/>
    <w:rsid w:val="000356A5"/>
    <w:rsid w:val="00054A98"/>
    <w:rsid w:val="00075990"/>
    <w:rsid w:val="000A7443"/>
    <w:rsid w:val="000F1175"/>
    <w:rsid w:val="001149BA"/>
    <w:rsid w:val="00147009"/>
    <w:rsid w:val="00147305"/>
    <w:rsid w:val="0018280B"/>
    <w:rsid w:val="00187404"/>
    <w:rsid w:val="00195D07"/>
    <w:rsid w:val="001C52C9"/>
    <w:rsid w:val="001C5F97"/>
    <w:rsid w:val="001D0260"/>
    <w:rsid w:val="001E0A72"/>
    <w:rsid w:val="00226562"/>
    <w:rsid w:val="002466B2"/>
    <w:rsid w:val="00272049"/>
    <w:rsid w:val="002837A4"/>
    <w:rsid w:val="002B081C"/>
    <w:rsid w:val="002D2C06"/>
    <w:rsid w:val="003067D8"/>
    <w:rsid w:val="003503AD"/>
    <w:rsid w:val="003654B7"/>
    <w:rsid w:val="003B277E"/>
    <w:rsid w:val="003C20A8"/>
    <w:rsid w:val="003C4AA1"/>
    <w:rsid w:val="003E2B98"/>
    <w:rsid w:val="003F4C59"/>
    <w:rsid w:val="00431D5B"/>
    <w:rsid w:val="00444B09"/>
    <w:rsid w:val="004636CF"/>
    <w:rsid w:val="0046777A"/>
    <w:rsid w:val="004C64FF"/>
    <w:rsid w:val="004D34E4"/>
    <w:rsid w:val="004E0CD2"/>
    <w:rsid w:val="00504D28"/>
    <w:rsid w:val="00563455"/>
    <w:rsid w:val="0056751F"/>
    <w:rsid w:val="005C0C2A"/>
    <w:rsid w:val="005C47D3"/>
    <w:rsid w:val="005C6F62"/>
    <w:rsid w:val="006068D8"/>
    <w:rsid w:val="00621622"/>
    <w:rsid w:val="00661099"/>
    <w:rsid w:val="006646F0"/>
    <w:rsid w:val="00673B76"/>
    <w:rsid w:val="0069291B"/>
    <w:rsid w:val="006D0505"/>
    <w:rsid w:val="006D5CC0"/>
    <w:rsid w:val="006D68C7"/>
    <w:rsid w:val="006E3E2D"/>
    <w:rsid w:val="006E3FF5"/>
    <w:rsid w:val="006F39E5"/>
    <w:rsid w:val="006F43A3"/>
    <w:rsid w:val="007169FC"/>
    <w:rsid w:val="00742AD8"/>
    <w:rsid w:val="00784358"/>
    <w:rsid w:val="007902DE"/>
    <w:rsid w:val="007C795B"/>
    <w:rsid w:val="00805376"/>
    <w:rsid w:val="0084377C"/>
    <w:rsid w:val="00865EF3"/>
    <w:rsid w:val="008A1D3D"/>
    <w:rsid w:val="008B76DF"/>
    <w:rsid w:val="008D5EE6"/>
    <w:rsid w:val="008E0373"/>
    <w:rsid w:val="0090066B"/>
    <w:rsid w:val="0092612A"/>
    <w:rsid w:val="0097439F"/>
    <w:rsid w:val="0098405E"/>
    <w:rsid w:val="009947F3"/>
    <w:rsid w:val="009A271B"/>
    <w:rsid w:val="009B1EF6"/>
    <w:rsid w:val="009C3F7A"/>
    <w:rsid w:val="009D6E0A"/>
    <w:rsid w:val="00A00D9E"/>
    <w:rsid w:val="00A34B08"/>
    <w:rsid w:val="00AB5BC2"/>
    <w:rsid w:val="00AB6E7B"/>
    <w:rsid w:val="00AE2C8F"/>
    <w:rsid w:val="00B16560"/>
    <w:rsid w:val="00B20F5D"/>
    <w:rsid w:val="00B22F1C"/>
    <w:rsid w:val="00B25C7B"/>
    <w:rsid w:val="00B343BA"/>
    <w:rsid w:val="00B61692"/>
    <w:rsid w:val="00B74BE2"/>
    <w:rsid w:val="00BC5DEB"/>
    <w:rsid w:val="00C4352F"/>
    <w:rsid w:val="00C72D1F"/>
    <w:rsid w:val="00C806D8"/>
    <w:rsid w:val="00C826A2"/>
    <w:rsid w:val="00C83E34"/>
    <w:rsid w:val="00CA4A9A"/>
    <w:rsid w:val="00CC14FA"/>
    <w:rsid w:val="00CF0B23"/>
    <w:rsid w:val="00D15D3A"/>
    <w:rsid w:val="00D41E52"/>
    <w:rsid w:val="00D50131"/>
    <w:rsid w:val="00D555C3"/>
    <w:rsid w:val="00D82BD6"/>
    <w:rsid w:val="00D84350"/>
    <w:rsid w:val="00D96584"/>
    <w:rsid w:val="00E03D15"/>
    <w:rsid w:val="00E528C1"/>
    <w:rsid w:val="00E54C04"/>
    <w:rsid w:val="00E76485"/>
    <w:rsid w:val="00E86B4F"/>
    <w:rsid w:val="00E9134E"/>
    <w:rsid w:val="00ED1DA1"/>
    <w:rsid w:val="00EE3CA7"/>
    <w:rsid w:val="00F1112B"/>
    <w:rsid w:val="00F3285E"/>
    <w:rsid w:val="00F536D5"/>
    <w:rsid w:val="00FB1C1D"/>
    <w:rsid w:val="00FC0CA6"/>
    <w:rsid w:val="00FC1801"/>
    <w:rsid w:val="00FD48FF"/>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D1D91"/>
  <w14:defaultImageDpi w14:val="300"/>
  <w15:docId w15:val="{6CE74CED-C83A-A24E-B307-13BF436E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paragraph" w:styleId="Prrafodelista">
    <w:name w:val="List Paragraph"/>
    <w:basedOn w:val="Normal"/>
    <w:uiPriority w:val="34"/>
    <w:qFormat/>
    <w:rsid w:val="00D84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97659">
      <w:bodyDiv w:val="1"/>
      <w:marLeft w:val="0"/>
      <w:marRight w:val="0"/>
      <w:marTop w:val="0"/>
      <w:marBottom w:val="0"/>
      <w:divBdr>
        <w:top w:val="none" w:sz="0" w:space="0" w:color="auto"/>
        <w:left w:val="none" w:sz="0" w:space="0" w:color="auto"/>
        <w:bottom w:val="none" w:sz="0" w:space="0" w:color="auto"/>
        <w:right w:val="none" w:sz="0" w:space="0" w:color="auto"/>
      </w:divBdr>
    </w:div>
    <w:div w:id="1257403493">
      <w:bodyDiv w:val="1"/>
      <w:marLeft w:val="0"/>
      <w:marRight w:val="0"/>
      <w:marTop w:val="0"/>
      <w:marBottom w:val="0"/>
      <w:divBdr>
        <w:top w:val="none" w:sz="0" w:space="0" w:color="auto"/>
        <w:left w:val="none" w:sz="0" w:space="0" w:color="auto"/>
        <w:bottom w:val="none" w:sz="0" w:space="0" w:color="auto"/>
        <w:right w:val="none" w:sz="0" w:space="0" w:color="auto"/>
      </w:divBdr>
    </w:div>
    <w:div w:id="1331062020">
      <w:bodyDiv w:val="1"/>
      <w:marLeft w:val="0"/>
      <w:marRight w:val="0"/>
      <w:marTop w:val="0"/>
      <w:marBottom w:val="0"/>
      <w:divBdr>
        <w:top w:val="none" w:sz="0" w:space="0" w:color="auto"/>
        <w:left w:val="none" w:sz="0" w:space="0" w:color="auto"/>
        <w:bottom w:val="none" w:sz="0" w:space="0" w:color="auto"/>
        <w:right w:val="none" w:sz="0" w:space="0" w:color="auto"/>
      </w:divBdr>
    </w:div>
    <w:div w:id="1385908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83A69-6C0F-439D-BB87-7DAF4E0D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1247</Words>
  <Characters>6862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Michelle Delarrue Martinez</cp:lastModifiedBy>
  <cp:revision>82</cp:revision>
  <cp:lastPrinted>2018-12-10T18:18:00Z</cp:lastPrinted>
  <dcterms:created xsi:type="dcterms:W3CDTF">2023-04-18T13:59:00Z</dcterms:created>
  <dcterms:modified xsi:type="dcterms:W3CDTF">2023-04-19T16:12:00Z</dcterms:modified>
</cp:coreProperties>
</file>