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E0C02" w14:textId="77777777" w:rsidR="00F536D5" w:rsidRDefault="00F536D5" w:rsidP="00B16560">
      <w:pPr>
        <w:jc w:val="right"/>
        <w:rPr>
          <w:rFonts w:ascii="Montserrat Regular" w:hAnsi="Montserrat Regular"/>
          <w:b/>
          <w:sz w:val="20"/>
          <w:szCs w:val="20"/>
        </w:rPr>
      </w:pPr>
    </w:p>
    <w:p w14:paraId="71595053" w14:textId="77777777" w:rsidR="007342D2" w:rsidRDefault="007342D2" w:rsidP="008407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F65B2" w14:textId="377DD4CB" w:rsidR="0084077F" w:rsidRPr="000C5FF2" w:rsidRDefault="0084077F" w:rsidP="0084077F">
      <w:pPr>
        <w:jc w:val="center"/>
        <w:rPr>
          <w:rFonts w:ascii="Monserrat" w:hAnsi="Monserrat" w:cs="Times New Roman" w:hint="eastAsia"/>
          <w:b/>
          <w:sz w:val="28"/>
          <w:szCs w:val="28"/>
        </w:rPr>
      </w:pPr>
      <w:r w:rsidRPr="000C5FF2">
        <w:rPr>
          <w:rFonts w:ascii="Monserrat" w:hAnsi="Monserrat" w:cs="Times New Roman"/>
          <w:b/>
          <w:sz w:val="28"/>
          <w:szCs w:val="28"/>
        </w:rPr>
        <w:t>Informe de desempeño de los Programas Presupuestarios del CONACYT</w:t>
      </w:r>
    </w:p>
    <w:p w14:paraId="55DD2598" w14:textId="77777777" w:rsidR="0084077F" w:rsidRPr="000C5FF2" w:rsidRDefault="0084077F" w:rsidP="0084077F">
      <w:pPr>
        <w:jc w:val="center"/>
        <w:rPr>
          <w:rFonts w:ascii="Monserrat" w:hAnsi="Monserrat" w:cs="Times New Roman" w:hint="eastAsia"/>
          <w:b/>
          <w:sz w:val="28"/>
          <w:szCs w:val="28"/>
        </w:rPr>
      </w:pPr>
    </w:p>
    <w:p w14:paraId="1FF82072" w14:textId="25DF0DC8" w:rsidR="0084077F" w:rsidRPr="000C5FF2" w:rsidRDefault="0084077F" w:rsidP="0084077F">
      <w:pPr>
        <w:jc w:val="center"/>
        <w:rPr>
          <w:rFonts w:ascii="Monserrat" w:hAnsi="Monserrat" w:cs="Times New Roman" w:hint="eastAsia"/>
          <w:b/>
          <w:sz w:val="28"/>
          <w:szCs w:val="28"/>
        </w:rPr>
      </w:pPr>
      <w:r w:rsidRPr="000C5FF2">
        <w:rPr>
          <w:rFonts w:ascii="Monserrat" w:hAnsi="Monserrat" w:cs="Times New Roman"/>
          <w:b/>
          <w:sz w:val="28"/>
          <w:szCs w:val="28"/>
        </w:rPr>
        <w:t>(</w:t>
      </w:r>
      <w:r w:rsidR="007342D2" w:rsidRPr="000C5FF2">
        <w:rPr>
          <w:rFonts w:ascii="Monserrat" w:hAnsi="Monserrat" w:cs="Times New Roman"/>
          <w:b/>
          <w:sz w:val="28"/>
          <w:szCs w:val="28"/>
        </w:rPr>
        <w:t>4</w:t>
      </w:r>
      <w:r w:rsidRPr="000C5FF2">
        <w:rPr>
          <w:rFonts w:ascii="Monserrat" w:hAnsi="Monserrat" w:cs="Times New Roman"/>
          <w:b/>
          <w:sz w:val="28"/>
          <w:szCs w:val="28"/>
        </w:rPr>
        <w:t>º Trimestre 2020)</w:t>
      </w:r>
    </w:p>
    <w:p w14:paraId="0D01824B" w14:textId="77777777" w:rsidR="0084077F" w:rsidRPr="002F0ACE" w:rsidRDefault="0084077F" w:rsidP="008407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F038A9" w14:textId="77777777" w:rsidR="0084077F" w:rsidRPr="000C5FF2" w:rsidRDefault="0084077F" w:rsidP="0084077F">
      <w:pPr>
        <w:jc w:val="both"/>
        <w:rPr>
          <w:rFonts w:ascii="Monserrat" w:hAnsi="Monserrat" w:cs="Times New Roman" w:hint="eastAsia"/>
        </w:rPr>
      </w:pPr>
      <w:r w:rsidRPr="000C5FF2">
        <w:rPr>
          <w:rFonts w:ascii="Monserrat" w:hAnsi="Monserrat" w:cs="Times New Roman"/>
        </w:rPr>
        <w:t>En atención a la normatividad vigente en materia de monitoreo y evaluación, el Consejo Nacional de Ciencia y Tecnología (CONACYT), se encuentra mandatado a realizar reportes periódicos de los avances de metas de indicadores, correspondientes a sus programas presupuestarios. Dichos reportes, se basan en la información contenida en las Matrices de Indicadores de Resultados (MIR), registradas en el Portal aplicativo de la Secretaria de Hacienda (PASH).</w:t>
      </w:r>
    </w:p>
    <w:p w14:paraId="53BA74D3" w14:textId="77777777" w:rsidR="0084077F" w:rsidRPr="000C5FF2" w:rsidRDefault="0084077F" w:rsidP="0084077F">
      <w:pPr>
        <w:jc w:val="both"/>
        <w:rPr>
          <w:rFonts w:ascii="Monserrat" w:hAnsi="Monserrat" w:cs="Times New Roman" w:hint="eastAsia"/>
        </w:rPr>
      </w:pPr>
    </w:p>
    <w:p w14:paraId="33209CCB" w14:textId="77777777" w:rsidR="0084077F" w:rsidRPr="000C5FF2" w:rsidRDefault="0084077F" w:rsidP="0084077F">
      <w:pPr>
        <w:jc w:val="both"/>
        <w:rPr>
          <w:rFonts w:ascii="Monserrat" w:hAnsi="Monserrat" w:cs="Times New Roman" w:hint="eastAsia"/>
        </w:rPr>
      </w:pPr>
      <w:r w:rsidRPr="000C5FF2">
        <w:rPr>
          <w:rFonts w:ascii="Monserrat" w:hAnsi="Monserrat" w:cs="Times New Roman"/>
        </w:rPr>
        <w:t>La mecánica de reporte ante las diversas instancias fiscalizadoras es la siguiente:</w:t>
      </w:r>
    </w:p>
    <w:p w14:paraId="052BDEEF" w14:textId="77777777" w:rsidR="0084077F" w:rsidRPr="000C5FF2" w:rsidRDefault="0084077F" w:rsidP="0084077F">
      <w:pPr>
        <w:jc w:val="both"/>
        <w:rPr>
          <w:rFonts w:ascii="Monserrat" w:hAnsi="Monserrat" w:cs="Times New Roman" w:hint="eastAsia"/>
        </w:rPr>
      </w:pPr>
    </w:p>
    <w:p w14:paraId="7F14195D" w14:textId="77777777" w:rsidR="0084077F" w:rsidRPr="000C5FF2" w:rsidRDefault="0084077F" w:rsidP="0084077F">
      <w:pPr>
        <w:pStyle w:val="Prrafodelista"/>
        <w:numPr>
          <w:ilvl w:val="0"/>
          <w:numId w:val="1"/>
        </w:numPr>
        <w:jc w:val="both"/>
        <w:rPr>
          <w:rFonts w:ascii="Monserrat" w:hAnsi="Monserrat" w:cs="Times New Roman" w:hint="eastAsia"/>
        </w:rPr>
      </w:pPr>
      <w:r w:rsidRPr="000C5FF2">
        <w:rPr>
          <w:rFonts w:ascii="Monserrat" w:hAnsi="Monserrat" w:cs="Times New Roman"/>
        </w:rPr>
        <w:t>El primer y tercer trimestre, se reportan los indicadores de periodicidad trimestral.</w:t>
      </w:r>
    </w:p>
    <w:p w14:paraId="411DFADF" w14:textId="77777777" w:rsidR="0084077F" w:rsidRPr="000C5FF2" w:rsidRDefault="0084077F" w:rsidP="0084077F">
      <w:pPr>
        <w:pStyle w:val="Prrafodelista"/>
        <w:numPr>
          <w:ilvl w:val="0"/>
          <w:numId w:val="1"/>
        </w:numPr>
        <w:jc w:val="both"/>
        <w:rPr>
          <w:rFonts w:ascii="Monserrat" w:hAnsi="Monserrat" w:cs="Times New Roman" w:hint="eastAsia"/>
        </w:rPr>
      </w:pPr>
      <w:r w:rsidRPr="000C5FF2">
        <w:rPr>
          <w:rFonts w:ascii="Monserrat" w:hAnsi="Monserrat" w:cs="Times New Roman"/>
        </w:rPr>
        <w:t>El segundo trimestre, se reportan los indicadores trimestrales, así como los que derivan del primer semestre.</w:t>
      </w:r>
    </w:p>
    <w:p w14:paraId="362E210B" w14:textId="77777777" w:rsidR="0084077F" w:rsidRPr="000C5FF2" w:rsidRDefault="0084077F" w:rsidP="0084077F">
      <w:pPr>
        <w:pStyle w:val="Prrafodelista"/>
        <w:numPr>
          <w:ilvl w:val="0"/>
          <w:numId w:val="1"/>
        </w:numPr>
        <w:jc w:val="both"/>
        <w:rPr>
          <w:rFonts w:ascii="Monserrat" w:hAnsi="Monserrat" w:cs="Times New Roman" w:hint="eastAsia"/>
        </w:rPr>
      </w:pPr>
      <w:r w:rsidRPr="000C5FF2">
        <w:rPr>
          <w:rFonts w:ascii="Monserrat" w:hAnsi="Monserrat" w:cs="Times New Roman"/>
        </w:rPr>
        <w:t xml:space="preserve">El cierre de año, se reportan los indicadores trimestrales, los del segundo semestre y los anuales. </w:t>
      </w:r>
    </w:p>
    <w:p w14:paraId="22B66948" w14:textId="77777777" w:rsidR="0084077F" w:rsidRPr="000C5FF2" w:rsidRDefault="0084077F" w:rsidP="0084077F">
      <w:pPr>
        <w:ind w:left="360"/>
        <w:jc w:val="both"/>
        <w:rPr>
          <w:rFonts w:ascii="Monserrat" w:hAnsi="Monserrat" w:cs="Times New Roman" w:hint="eastAsia"/>
        </w:rPr>
      </w:pPr>
    </w:p>
    <w:p w14:paraId="4AF1B12B" w14:textId="77777777" w:rsidR="0084077F" w:rsidRPr="000C5FF2" w:rsidRDefault="0084077F" w:rsidP="0084077F">
      <w:pPr>
        <w:jc w:val="both"/>
        <w:rPr>
          <w:rFonts w:ascii="Monserrat" w:hAnsi="Monserrat" w:cs="Times New Roman" w:hint="eastAsia"/>
        </w:rPr>
      </w:pPr>
      <w:r w:rsidRPr="000C5FF2">
        <w:rPr>
          <w:rFonts w:ascii="Monserrat" w:hAnsi="Monserrat" w:cs="Times New Roman"/>
        </w:rPr>
        <w:t xml:space="preserve">Cabe señalar que, para calcular el desempeño de cada programa, se genera un cociente entre la meta alcanzada con respecto a la meta planeada para el trimestre correspondiente, multiplicado por 100 a fin de expresarse como porcentaje. </w:t>
      </w:r>
    </w:p>
    <w:p w14:paraId="3526996F" w14:textId="77777777" w:rsidR="0084077F" w:rsidRPr="000C5FF2" w:rsidRDefault="0084077F" w:rsidP="0084077F">
      <w:pPr>
        <w:jc w:val="both"/>
        <w:rPr>
          <w:rFonts w:ascii="Monserrat" w:hAnsi="Monserrat" w:cs="Times New Roman" w:hint="eastAsia"/>
        </w:rPr>
      </w:pPr>
    </w:p>
    <w:p w14:paraId="24D916DC" w14:textId="77777777" w:rsidR="0084077F" w:rsidRPr="000C5FF2" w:rsidRDefault="0084077F" w:rsidP="0084077F">
      <w:pPr>
        <w:jc w:val="both"/>
        <w:rPr>
          <w:rFonts w:ascii="Monserrat" w:hAnsi="Monserrat" w:cs="Times New Roman" w:hint="eastAsia"/>
        </w:rPr>
      </w:pPr>
      <w:r w:rsidRPr="000C5FF2">
        <w:rPr>
          <w:rFonts w:ascii="Monserrat" w:hAnsi="Monserrat" w:cs="Times New Roman"/>
        </w:rPr>
        <w:t>Los rangos para evaluar el desempeño de los programas presupuestarios son los siguientes:</w:t>
      </w:r>
    </w:p>
    <w:p w14:paraId="374EC01A" w14:textId="77777777" w:rsidR="0084077F" w:rsidRPr="000C5FF2" w:rsidRDefault="0084077F" w:rsidP="0084077F">
      <w:pPr>
        <w:jc w:val="both"/>
        <w:rPr>
          <w:rFonts w:ascii="Monserrat" w:hAnsi="Monserrat" w:cs="Times New Roman" w:hint="eastAsia"/>
        </w:rPr>
      </w:pPr>
    </w:p>
    <w:p w14:paraId="632C788A" w14:textId="77777777" w:rsidR="0084077F" w:rsidRPr="000C5FF2" w:rsidRDefault="0084077F" w:rsidP="0084077F">
      <w:pPr>
        <w:pStyle w:val="Prrafodelista"/>
        <w:numPr>
          <w:ilvl w:val="0"/>
          <w:numId w:val="2"/>
        </w:numPr>
        <w:jc w:val="both"/>
        <w:rPr>
          <w:rFonts w:ascii="Monserrat" w:hAnsi="Monserrat" w:cs="Times New Roman" w:hint="eastAsia"/>
        </w:rPr>
      </w:pPr>
      <w:r w:rsidRPr="000C5FF2">
        <w:rPr>
          <w:rFonts w:ascii="Monserrat" w:hAnsi="Monserrat" w:cs="Times New Roman"/>
        </w:rPr>
        <w:t>Un indicador tiene un desempeño adecuado cuando su porcentaje de cumplimiento oscila entre el 80 y el 115 por ciento. Esto, debido a los factores imponderables que eventualmente pueden incidir sobre el indicador, generando que el desempeño no sea igual a 100 por ciento.</w:t>
      </w:r>
    </w:p>
    <w:p w14:paraId="3C1930D5" w14:textId="77777777" w:rsidR="0084077F" w:rsidRPr="000C5FF2" w:rsidRDefault="0084077F" w:rsidP="0084077F">
      <w:pPr>
        <w:pStyle w:val="Prrafodelista"/>
        <w:numPr>
          <w:ilvl w:val="0"/>
          <w:numId w:val="2"/>
        </w:numPr>
        <w:jc w:val="both"/>
        <w:rPr>
          <w:rFonts w:ascii="Monserrat" w:hAnsi="Monserrat" w:cs="Times New Roman" w:hint="eastAsia"/>
        </w:rPr>
      </w:pPr>
      <w:r w:rsidRPr="000C5FF2">
        <w:rPr>
          <w:rFonts w:ascii="Monserrat" w:hAnsi="Monserrat" w:cs="Times New Roman"/>
        </w:rPr>
        <w:t>Cuando el indicador tiene un desempeño menor al 80 por ciento, la meta alcanzada es mucho menor a la meta planeada</w:t>
      </w:r>
    </w:p>
    <w:p w14:paraId="2D732808" w14:textId="77777777" w:rsidR="0084077F" w:rsidRPr="000C5FF2" w:rsidRDefault="0084077F" w:rsidP="0084077F">
      <w:pPr>
        <w:pStyle w:val="Prrafodelista"/>
        <w:numPr>
          <w:ilvl w:val="0"/>
          <w:numId w:val="2"/>
        </w:numPr>
        <w:jc w:val="both"/>
        <w:rPr>
          <w:rFonts w:ascii="Monserrat" w:hAnsi="Monserrat" w:cs="Times New Roman" w:hint="eastAsia"/>
        </w:rPr>
      </w:pPr>
      <w:r w:rsidRPr="000C5FF2">
        <w:rPr>
          <w:rFonts w:ascii="Monserrat" w:hAnsi="Monserrat" w:cs="Times New Roman"/>
        </w:rPr>
        <w:t>Si el indicador es superior al 115 por ciento, denota que la meta alcanzada es mucho mayor que la planeada.</w:t>
      </w:r>
    </w:p>
    <w:p w14:paraId="35D38DC7" w14:textId="77777777" w:rsidR="0084077F" w:rsidRPr="000C5FF2" w:rsidRDefault="0084077F" w:rsidP="0084077F">
      <w:pPr>
        <w:jc w:val="both"/>
        <w:rPr>
          <w:rFonts w:ascii="Monserrat" w:hAnsi="Monserrat" w:cs="Times New Roman" w:hint="eastAsia"/>
        </w:rPr>
      </w:pPr>
    </w:p>
    <w:p w14:paraId="0FF2E117" w14:textId="77777777" w:rsidR="0084077F" w:rsidRPr="000C5FF2" w:rsidRDefault="0084077F" w:rsidP="0084077F">
      <w:pPr>
        <w:jc w:val="both"/>
        <w:rPr>
          <w:rFonts w:ascii="Monserrat" w:hAnsi="Monserrat" w:cs="Times New Roman" w:hint="eastAsia"/>
          <w:noProof/>
          <w:color w:val="FF0000"/>
          <w:lang w:val="es-MX" w:eastAsia="es-MX"/>
        </w:rPr>
      </w:pPr>
      <w:r w:rsidRPr="000C5FF2">
        <w:rPr>
          <w:rFonts w:ascii="Monserrat" w:hAnsi="Monserrat" w:cs="Times New Roman"/>
        </w:rPr>
        <w:t>En los dos últimos casos, se sugiere mejorar la planificación de las metas, a efecto de contar con un buen desempeño del indicador.</w:t>
      </w:r>
    </w:p>
    <w:p w14:paraId="73B1E201" w14:textId="77777777" w:rsidR="0084077F" w:rsidRPr="000C5FF2" w:rsidRDefault="0084077F" w:rsidP="0084077F">
      <w:pPr>
        <w:jc w:val="both"/>
        <w:rPr>
          <w:rFonts w:ascii="Monserrat" w:hAnsi="Monserrat" w:cs="Times New Roman" w:hint="eastAsia"/>
          <w:color w:val="FF0000"/>
        </w:rPr>
      </w:pPr>
    </w:p>
    <w:p w14:paraId="0A38387A" w14:textId="518EA5CB" w:rsidR="0084077F" w:rsidRPr="000C5FF2" w:rsidRDefault="0084077F" w:rsidP="0084077F">
      <w:pPr>
        <w:jc w:val="both"/>
        <w:rPr>
          <w:rFonts w:ascii="Monserrat" w:hAnsi="Monserrat" w:cs="Times New Roman" w:hint="eastAsia"/>
        </w:rPr>
      </w:pPr>
      <w:r w:rsidRPr="000C5FF2">
        <w:rPr>
          <w:rFonts w:ascii="Monserrat" w:hAnsi="Monserrat" w:cs="Times New Roman"/>
        </w:rPr>
        <w:t xml:space="preserve">Como aspectos relevantes del balance del </w:t>
      </w:r>
      <w:r w:rsidR="007342D2" w:rsidRPr="000C5FF2">
        <w:rPr>
          <w:rFonts w:ascii="Monserrat" w:hAnsi="Monserrat" w:cs="Times New Roman"/>
        </w:rPr>
        <w:t>4</w:t>
      </w:r>
      <w:r w:rsidRPr="000C5FF2">
        <w:rPr>
          <w:rFonts w:ascii="Monserrat" w:hAnsi="Monserrat" w:cs="Times New Roman"/>
        </w:rPr>
        <w:t>° trimestre de 2020, en los cuadros 1 y 2, se exponen los siguientes hallazgos:</w:t>
      </w:r>
    </w:p>
    <w:p w14:paraId="29DB5A64" w14:textId="77777777" w:rsidR="0084077F" w:rsidRDefault="0084077F" w:rsidP="0084077F">
      <w:pPr>
        <w:rPr>
          <w:rFonts w:ascii="Arial" w:hAnsi="Arial"/>
        </w:rPr>
      </w:pPr>
    </w:p>
    <w:p w14:paraId="5F277F66" w14:textId="426FD510" w:rsidR="0084077F" w:rsidRDefault="007342D2" w:rsidP="0084077F">
      <w:pPr>
        <w:jc w:val="both"/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4BF7EB28" wp14:editId="48FF6C00">
            <wp:simplePos x="0" y="0"/>
            <wp:positionH relativeFrom="column">
              <wp:posOffset>-677855</wp:posOffset>
            </wp:positionH>
            <wp:positionV relativeFrom="paragraph">
              <wp:posOffset>293296</wp:posOffset>
            </wp:positionV>
            <wp:extent cx="7630160" cy="2987675"/>
            <wp:effectExtent l="0" t="0" r="8890" b="317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8" t="32115" r="14365" b="13163"/>
                    <a:stretch/>
                  </pic:blipFill>
                  <pic:spPr bwMode="auto">
                    <a:xfrm>
                      <a:off x="0" y="0"/>
                      <a:ext cx="7630160" cy="298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F5A6D" w14:textId="574D9AF5" w:rsidR="0084077F" w:rsidRDefault="007342D2" w:rsidP="0084077F">
      <w:pPr>
        <w:jc w:val="both"/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A6AFE10" wp14:editId="573E822B">
            <wp:simplePos x="0" y="0"/>
            <wp:positionH relativeFrom="margin">
              <wp:align>center</wp:align>
            </wp:positionH>
            <wp:positionV relativeFrom="paragraph">
              <wp:posOffset>3321050</wp:posOffset>
            </wp:positionV>
            <wp:extent cx="7618095" cy="3550920"/>
            <wp:effectExtent l="0" t="0" r="190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2" t="31222" r="24439" b="11672"/>
                    <a:stretch/>
                  </pic:blipFill>
                  <pic:spPr bwMode="auto">
                    <a:xfrm>
                      <a:off x="0" y="0"/>
                      <a:ext cx="7618095" cy="355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CD06E" w14:textId="5191857B" w:rsidR="0084077F" w:rsidRDefault="0084077F" w:rsidP="0084077F">
      <w:pPr>
        <w:jc w:val="both"/>
      </w:pPr>
    </w:p>
    <w:p w14:paraId="2F7220E8" w14:textId="36D035C3" w:rsidR="0084077F" w:rsidRDefault="0084077F" w:rsidP="0084077F">
      <w:pPr>
        <w:jc w:val="both"/>
      </w:pPr>
    </w:p>
    <w:p w14:paraId="48653CD9" w14:textId="77777777" w:rsidR="0084077F" w:rsidRPr="000C5FF2" w:rsidRDefault="0084077F" w:rsidP="0084077F">
      <w:pPr>
        <w:jc w:val="both"/>
        <w:rPr>
          <w:rFonts w:ascii="Monserrat" w:hAnsi="Monserrat" w:hint="eastAsia"/>
        </w:rPr>
      </w:pPr>
      <w:r w:rsidRPr="000C5FF2">
        <w:rPr>
          <w:rFonts w:ascii="Monserrat" w:hAnsi="Monserrat"/>
        </w:rPr>
        <w:t>Con la información de los cuadros, puede apreciarse lo siguiente:</w:t>
      </w:r>
    </w:p>
    <w:p w14:paraId="6EDC1F21" w14:textId="77777777" w:rsidR="0084077F" w:rsidRPr="000C5FF2" w:rsidRDefault="0084077F" w:rsidP="0084077F">
      <w:pPr>
        <w:jc w:val="both"/>
        <w:rPr>
          <w:rFonts w:ascii="Monserrat" w:hAnsi="Monserrat" w:hint="eastAsia"/>
        </w:rPr>
      </w:pPr>
    </w:p>
    <w:p w14:paraId="184A64A3" w14:textId="77777777" w:rsidR="004B48E9" w:rsidRDefault="007342D2" w:rsidP="004B48E9">
      <w:pPr>
        <w:pStyle w:val="Prrafodelista"/>
        <w:numPr>
          <w:ilvl w:val="0"/>
          <w:numId w:val="3"/>
        </w:numPr>
        <w:jc w:val="both"/>
        <w:rPr>
          <w:rFonts w:ascii="Monserrat" w:hAnsi="Monserrat"/>
        </w:rPr>
      </w:pPr>
      <w:r w:rsidRPr="000C5FF2">
        <w:rPr>
          <w:rFonts w:ascii="Monserrat" w:hAnsi="Monserrat"/>
        </w:rPr>
        <w:t>De lo</w:t>
      </w:r>
      <w:r w:rsidR="000C5FF2">
        <w:rPr>
          <w:rFonts w:ascii="Monserrat" w:hAnsi="Monserrat"/>
        </w:rPr>
        <w:t>s 68 indicadores registrados, 6</w:t>
      </w:r>
      <w:r w:rsidRPr="000C5FF2">
        <w:rPr>
          <w:rFonts w:ascii="Monserrat" w:hAnsi="Monserrat"/>
        </w:rPr>
        <w:t xml:space="preserve"> muestra</w:t>
      </w:r>
      <w:r w:rsidR="000C5FF2">
        <w:rPr>
          <w:rFonts w:ascii="Monserrat" w:hAnsi="Monserrat"/>
        </w:rPr>
        <w:t>n un desempeño menor al 80%; 51</w:t>
      </w:r>
      <w:r w:rsidRPr="000C5FF2">
        <w:rPr>
          <w:rFonts w:ascii="Monserrat" w:hAnsi="Monserrat"/>
        </w:rPr>
        <w:t xml:space="preserve"> tienen un desempeño entre 80% y 115%; y</w:t>
      </w:r>
      <w:r w:rsidR="000C5FF2">
        <w:rPr>
          <w:rFonts w:ascii="Monserrat" w:hAnsi="Monserrat"/>
        </w:rPr>
        <w:t xml:space="preserve"> 11</w:t>
      </w:r>
      <w:r w:rsidRPr="000C5FF2">
        <w:rPr>
          <w:rFonts w:ascii="Monserrat" w:hAnsi="Monserrat"/>
        </w:rPr>
        <w:t xml:space="preserve"> reflejan un desempeño por arriba del 115%. En términos porcen</w:t>
      </w:r>
      <w:r w:rsidR="000C5FF2">
        <w:rPr>
          <w:rFonts w:ascii="Monserrat" w:hAnsi="Monserrat"/>
        </w:rPr>
        <w:t>tuales, la distribución es 8.82</w:t>
      </w:r>
      <w:r w:rsidRPr="000C5FF2">
        <w:rPr>
          <w:rFonts w:ascii="Monserrat" w:hAnsi="Monserrat"/>
        </w:rPr>
        <w:t xml:space="preserve">%, </w:t>
      </w:r>
      <w:r w:rsidR="000C5FF2">
        <w:rPr>
          <w:rFonts w:ascii="Monserrat" w:hAnsi="Monserrat"/>
        </w:rPr>
        <w:t>75</w:t>
      </w:r>
      <w:r w:rsidRPr="000C5FF2">
        <w:rPr>
          <w:rFonts w:ascii="Monserrat" w:hAnsi="Monserrat"/>
        </w:rPr>
        <w:t xml:space="preserve">% y </w:t>
      </w:r>
      <w:r w:rsidR="000C5FF2">
        <w:rPr>
          <w:rFonts w:ascii="Monserrat" w:hAnsi="Monserrat"/>
        </w:rPr>
        <w:t>16.18</w:t>
      </w:r>
      <w:r w:rsidRPr="000C5FF2">
        <w:rPr>
          <w:rFonts w:ascii="Monserrat" w:hAnsi="Monserrat"/>
        </w:rPr>
        <w:t xml:space="preserve">%, respectivamente. Estos datos, expresan </w:t>
      </w:r>
      <w:bookmarkStart w:id="0" w:name="_GoBack"/>
      <w:bookmarkEnd w:id="0"/>
      <w:r w:rsidRPr="000C5FF2">
        <w:rPr>
          <w:rFonts w:ascii="Monserrat" w:hAnsi="Monserrat"/>
        </w:rPr>
        <w:t>que la gran mayoría de los indicadores de los programas presupuestales de CONACYT, tuvieron un comportamiento adecuado, durante el cuarto trimestre del año.</w:t>
      </w:r>
    </w:p>
    <w:p w14:paraId="13F6E39B" w14:textId="3DEE9153" w:rsidR="004B48E9" w:rsidRDefault="004B48E9" w:rsidP="004B48E9">
      <w:pPr>
        <w:pStyle w:val="Prrafodelista"/>
        <w:jc w:val="both"/>
        <w:rPr>
          <w:rFonts w:ascii="Monserrat" w:hAnsi="Monserrat"/>
        </w:rPr>
      </w:pPr>
    </w:p>
    <w:p w14:paraId="0449E919" w14:textId="77777777" w:rsidR="004B48E9" w:rsidRDefault="004B48E9" w:rsidP="004B48E9">
      <w:pPr>
        <w:pStyle w:val="Prrafodelista"/>
        <w:jc w:val="both"/>
        <w:rPr>
          <w:rFonts w:ascii="Monserrat" w:hAnsi="Monserrat"/>
        </w:rPr>
      </w:pPr>
    </w:p>
    <w:p w14:paraId="0B9CA4F5" w14:textId="79037044" w:rsidR="004B48E9" w:rsidRPr="004B48E9" w:rsidRDefault="007342D2" w:rsidP="004B48E9">
      <w:pPr>
        <w:pStyle w:val="Prrafodelista"/>
        <w:numPr>
          <w:ilvl w:val="0"/>
          <w:numId w:val="3"/>
        </w:numPr>
        <w:jc w:val="both"/>
        <w:rPr>
          <w:rFonts w:ascii="Monserrat" w:hAnsi="Monserrat"/>
        </w:rPr>
      </w:pPr>
      <w:r w:rsidRPr="004B48E9">
        <w:rPr>
          <w:rFonts w:ascii="Monserrat" w:hAnsi="Monserrat"/>
        </w:rPr>
        <w:t>Entre las variaciones más significativas y las causas de es</w:t>
      </w:r>
      <w:r w:rsidR="00F963B5" w:rsidRPr="004B48E9">
        <w:rPr>
          <w:rFonts w:ascii="Monserrat" w:hAnsi="Monserrat"/>
        </w:rPr>
        <w:t>tas, podemos señalar que</w:t>
      </w:r>
      <w:r w:rsidRPr="004B48E9">
        <w:rPr>
          <w:rFonts w:ascii="Monserrat" w:hAnsi="Monserrat"/>
        </w:rPr>
        <w:t>:</w:t>
      </w:r>
      <w:r w:rsidR="00F963B5" w:rsidRPr="004B48E9">
        <w:rPr>
          <w:rFonts w:ascii="Times New Roman" w:hAnsi="Times New Roman" w:cs="Times New Roman"/>
        </w:rPr>
        <w:t xml:space="preserve"> </w:t>
      </w:r>
    </w:p>
    <w:p w14:paraId="713E6216" w14:textId="77777777" w:rsidR="004B48E9" w:rsidRDefault="004B48E9" w:rsidP="00F963B5">
      <w:pPr>
        <w:pStyle w:val="Prrafodelista"/>
        <w:jc w:val="both"/>
        <w:rPr>
          <w:rFonts w:ascii="Times New Roman" w:hAnsi="Times New Roman" w:cs="Times New Roman"/>
        </w:rPr>
      </w:pPr>
    </w:p>
    <w:p w14:paraId="72CECD68" w14:textId="52DF12A4" w:rsidR="00F963B5" w:rsidRDefault="00F963B5" w:rsidP="00F963B5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el Programa E003 “Investigación científ</w:t>
      </w:r>
      <w:r w:rsidR="004B48E9">
        <w:rPr>
          <w:rFonts w:ascii="Times New Roman" w:hAnsi="Times New Roman" w:cs="Times New Roman"/>
        </w:rPr>
        <w:t>ica, desarrollo e innovación”, 3</w:t>
      </w:r>
      <w:r>
        <w:rPr>
          <w:rFonts w:ascii="Times New Roman" w:hAnsi="Times New Roman" w:cs="Times New Roman"/>
        </w:rPr>
        <w:t xml:space="preserve"> de sus indicadores tuvieron un cumplimiento mayor a sus metas proyectadas</w:t>
      </w:r>
      <w:r w:rsidR="004B48E9">
        <w:rPr>
          <w:rFonts w:ascii="Times New Roman" w:hAnsi="Times New Roman" w:cs="Times New Roman"/>
        </w:rPr>
        <w:t xml:space="preserve"> d</w:t>
      </w:r>
      <w:r w:rsidR="004B48E9" w:rsidRPr="004B48E9">
        <w:rPr>
          <w:rFonts w:ascii="Times New Roman" w:hAnsi="Times New Roman" w:cs="Times New Roman"/>
        </w:rPr>
        <w:t>erivado de las afectaciones provocadas por la pandemia y la proyección al cierre del ejercicio fiscal</w:t>
      </w:r>
      <w:r>
        <w:rPr>
          <w:rFonts w:ascii="Times New Roman" w:hAnsi="Times New Roman" w:cs="Times New Roman"/>
        </w:rPr>
        <w:t xml:space="preserve">. </w:t>
      </w:r>
    </w:p>
    <w:p w14:paraId="52DAEE20" w14:textId="33EE2595" w:rsidR="004B48E9" w:rsidRDefault="004B48E9" w:rsidP="00F963B5">
      <w:pPr>
        <w:pStyle w:val="Prrafodelista"/>
        <w:jc w:val="both"/>
        <w:rPr>
          <w:rFonts w:ascii="Times New Roman" w:hAnsi="Times New Roman" w:cs="Times New Roman"/>
        </w:rPr>
      </w:pPr>
    </w:p>
    <w:p w14:paraId="52248471" w14:textId="330E9AEE" w:rsidR="004B48E9" w:rsidRDefault="004B48E9" w:rsidP="00F963B5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 que se puede observar en el Programa F002 “</w:t>
      </w:r>
      <w:r w:rsidRPr="004B48E9">
        <w:rPr>
          <w:rFonts w:ascii="Times New Roman" w:hAnsi="Times New Roman" w:cs="Times New Roman"/>
        </w:rPr>
        <w:t>Apoyos para actividades científicas, tecnológicas y de innovación</w:t>
      </w:r>
      <w:r>
        <w:rPr>
          <w:rFonts w:ascii="Times New Roman" w:hAnsi="Times New Roman" w:cs="Times New Roman"/>
        </w:rPr>
        <w:t xml:space="preserve">”, 3 de sus 6 indicadores tuvieron un cumplimiento mayor a sus metas proyectadas.  </w:t>
      </w:r>
      <w:r w:rsidRPr="004B48E9">
        <w:rPr>
          <w:rFonts w:ascii="Times New Roman" w:hAnsi="Times New Roman" w:cs="Times New Roman"/>
        </w:rPr>
        <w:t>Esto debido a los cierres de proyectos multianuales de los Fondos derivado de su extinción.</w:t>
      </w:r>
      <w:r>
        <w:rPr>
          <w:rFonts w:ascii="Times New Roman" w:hAnsi="Times New Roman" w:cs="Times New Roman"/>
        </w:rPr>
        <w:t xml:space="preserve"> Obteniendo como efecto superar</w:t>
      </w:r>
      <w:r w:rsidRPr="004B48E9">
        <w:rPr>
          <w:rFonts w:ascii="Times New Roman" w:hAnsi="Times New Roman" w:cs="Times New Roman"/>
        </w:rPr>
        <w:t xml:space="preserve"> la meta establecida, debido a una baja estimación en la meta planeada.</w:t>
      </w:r>
    </w:p>
    <w:p w14:paraId="02AB0D1D" w14:textId="525A5F25" w:rsidR="00F963B5" w:rsidRDefault="00F963B5" w:rsidP="00F963B5">
      <w:pPr>
        <w:pStyle w:val="Prrafodelista"/>
        <w:jc w:val="both"/>
        <w:rPr>
          <w:rFonts w:ascii="Times New Roman" w:hAnsi="Times New Roman" w:cs="Times New Roman"/>
        </w:rPr>
      </w:pPr>
    </w:p>
    <w:p w14:paraId="7001019B" w14:textId="2AA5E74E" w:rsidR="004B48E9" w:rsidRDefault="004B48E9" w:rsidP="00F963B5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el Programa S191 “</w:t>
      </w:r>
      <w:r w:rsidRPr="004B48E9">
        <w:rPr>
          <w:rFonts w:ascii="Times New Roman" w:hAnsi="Times New Roman" w:cs="Times New Roman"/>
        </w:rPr>
        <w:t>Sistema Nacional de Investigadores</w:t>
      </w:r>
      <w:r>
        <w:rPr>
          <w:rFonts w:ascii="Times New Roman" w:hAnsi="Times New Roman" w:cs="Times New Roman"/>
        </w:rPr>
        <w:t>”, uno de sus indicadores tuvo un cumplimiento por debajo de la meta proyectada, esto se debe</w:t>
      </w:r>
      <w:r w:rsidRPr="004B48E9">
        <w:rPr>
          <w:rFonts w:ascii="Times New Roman" w:hAnsi="Times New Roman" w:cs="Times New Roman"/>
        </w:rPr>
        <w:t xml:space="preserve"> a que se recibieron un mayor número de solicitudes de revisión, y de estas, se rectificó una proporción similar a la de años anteriores.</w:t>
      </w:r>
    </w:p>
    <w:p w14:paraId="39A7703B" w14:textId="77777777" w:rsidR="004B48E9" w:rsidRDefault="004B48E9" w:rsidP="00F963B5">
      <w:pPr>
        <w:pStyle w:val="Prrafodelista"/>
        <w:jc w:val="both"/>
        <w:rPr>
          <w:rFonts w:ascii="Times New Roman" w:hAnsi="Times New Roman" w:cs="Times New Roman"/>
        </w:rPr>
      </w:pPr>
    </w:p>
    <w:p w14:paraId="0D5CC537" w14:textId="52159997" w:rsidR="00F963B5" w:rsidRPr="005C4A8C" w:rsidRDefault="00F963B5" w:rsidP="005C4A8C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lo que atañe al Programa S192 “Fortalecimiento sectorial de las capacidades científicas, tecnológicas y de innovación”, 3 de sus indicadores mostraron un comportamiento por debajo de la meta, </w:t>
      </w:r>
      <w:r w:rsidR="005C4A8C">
        <w:rPr>
          <w:rFonts w:ascii="Times New Roman" w:hAnsi="Times New Roman" w:cs="Times New Roman"/>
        </w:rPr>
        <w:t>d</w:t>
      </w:r>
      <w:r w:rsidR="005C4A8C" w:rsidRPr="005C4A8C">
        <w:rPr>
          <w:rFonts w:ascii="Times New Roman" w:hAnsi="Times New Roman" w:cs="Times New Roman"/>
        </w:rPr>
        <w:t>e conformidad con el proceso de extinción de Fideicomisos que comenzó en 2020, no se emitieron nuevas convocatorias, y la operación de los Fondos se centró en cerrar aquellos proyectos que permanecieran vigentes.</w:t>
      </w:r>
      <w:r w:rsidR="005C4A8C">
        <w:rPr>
          <w:rFonts w:ascii="Times New Roman" w:hAnsi="Times New Roman" w:cs="Times New Roman"/>
        </w:rPr>
        <w:t xml:space="preserve"> </w:t>
      </w:r>
      <w:r w:rsidR="005C4A8C" w:rsidRPr="005C4A8C">
        <w:rPr>
          <w:rFonts w:ascii="Times New Roman" w:hAnsi="Times New Roman" w:cs="Times New Roman"/>
        </w:rPr>
        <w:t>Por otra parte, se obtuvieron 2 indicadores que sobrepasaron la meta proyectada debido a que se incrementaron sustancialmente los apoyos a ciencia básica, por lo que el número de proyectos subvencionados aumentó considerablemente.</w:t>
      </w:r>
    </w:p>
    <w:p w14:paraId="2A460609" w14:textId="77777777" w:rsidR="005C4A8C" w:rsidRPr="005C4A8C" w:rsidRDefault="005C4A8C" w:rsidP="005C4A8C">
      <w:pPr>
        <w:pStyle w:val="Prrafodelista"/>
        <w:jc w:val="both"/>
        <w:rPr>
          <w:rFonts w:ascii="Times New Roman" w:hAnsi="Times New Roman" w:cs="Times New Roman"/>
        </w:rPr>
      </w:pPr>
    </w:p>
    <w:p w14:paraId="02DBDEC9" w14:textId="4F6EEB99" w:rsidR="00F963B5" w:rsidRDefault="005C4A8C" w:rsidP="005C4A8C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Finalmente, cabe destacar que e</w:t>
      </w:r>
      <w:r w:rsidR="00F963B5">
        <w:rPr>
          <w:rFonts w:ascii="Times New Roman" w:hAnsi="Times New Roman" w:cs="Times New Roman"/>
        </w:rPr>
        <w:t xml:space="preserve">n el caso del Programa S278 “Fomento Regional de las Capacidades Científicas, Tecnológicas y de Innovación, 2 de sus indicadores </w:t>
      </w:r>
      <w:r>
        <w:rPr>
          <w:rFonts w:ascii="Times New Roman" w:hAnsi="Times New Roman" w:cs="Times New Roman"/>
        </w:rPr>
        <w:t>tuvieron un cumplimiento mayor a sus metas proyectadas Ya que en los últimos trimestres de 2020 se publicaron más convocatorias</w:t>
      </w:r>
      <w:r w:rsidRPr="005C4A8C">
        <w:rPr>
          <w:rFonts w:ascii="Times New Roman" w:hAnsi="Times New Roman" w:cs="Times New Roman"/>
        </w:rPr>
        <w:t xml:space="preserve"> de las planteadas en el año. </w:t>
      </w:r>
    </w:p>
    <w:p w14:paraId="33FD0EBC" w14:textId="77777777" w:rsidR="0084077F" w:rsidRDefault="0084077F" w:rsidP="0084077F">
      <w:pPr>
        <w:jc w:val="center"/>
        <w:rPr>
          <w:rFonts w:ascii="Arial" w:hAnsi="Arial"/>
        </w:rPr>
      </w:pPr>
    </w:p>
    <w:p w14:paraId="0E2B0E0E" w14:textId="77777777" w:rsidR="0084077F" w:rsidRPr="009C1BBA" w:rsidRDefault="0084077F" w:rsidP="0084077F">
      <w:pPr>
        <w:jc w:val="both"/>
        <w:rPr>
          <w:rFonts w:ascii="Times New Roman" w:hAnsi="Times New Roman" w:cs="Times New Roman"/>
        </w:rPr>
      </w:pPr>
    </w:p>
    <w:p w14:paraId="24C6D4B4" w14:textId="77777777" w:rsidR="0084077F" w:rsidRPr="00112FED" w:rsidRDefault="0084077F" w:rsidP="0084077F">
      <w:pPr>
        <w:spacing w:after="200" w:line="276" w:lineRule="auto"/>
        <w:jc w:val="both"/>
        <w:rPr>
          <w:rFonts w:ascii="Times New Roman" w:eastAsia="Calibri" w:hAnsi="Times New Roman" w:cs="Times New Roman"/>
          <w:lang w:val="es-MX" w:eastAsia="en-US"/>
        </w:rPr>
      </w:pPr>
    </w:p>
    <w:p w14:paraId="7ADAB7E8" w14:textId="77777777" w:rsidR="0084077F" w:rsidRPr="00112FED" w:rsidRDefault="0084077F" w:rsidP="0084077F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</w:p>
    <w:p w14:paraId="33CE3A2A" w14:textId="77777777" w:rsidR="0084077F" w:rsidRPr="004C64FF" w:rsidRDefault="0084077F" w:rsidP="0084077F">
      <w:pPr>
        <w:jc w:val="center"/>
        <w:rPr>
          <w:rFonts w:ascii="Arial" w:hAnsi="Arial"/>
        </w:rPr>
      </w:pPr>
    </w:p>
    <w:p w14:paraId="0C851BBD" w14:textId="0A7A8E3D" w:rsidR="00CC14FA" w:rsidRPr="003F4C59" w:rsidRDefault="00CC14FA" w:rsidP="0084077F">
      <w:pPr>
        <w:jc w:val="right"/>
        <w:rPr>
          <w:rFonts w:ascii="Montserrat Regular" w:hAnsi="Montserrat Regular"/>
          <w:sz w:val="22"/>
          <w:szCs w:val="22"/>
        </w:rPr>
      </w:pPr>
    </w:p>
    <w:sectPr w:rsidR="00CC14FA" w:rsidRPr="003F4C59" w:rsidSect="00AB5BC2">
      <w:headerReference w:type="default" r:id="rId10"/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DEDCA" w14:textId="77777777" w:rsidR="005D1825" w:rsidRDefault="005D1825" w:rsidP="005C6F62">
      <w:r>
        <w:separator/>
      </w:r>
    </w:p>
  </w:endnote>
  <w:endnote w:type="continuationSeparator" w:id="0">
    <w:p w14:paraId="19FB0649" w14:textId="77777777" w:rsidR="005D1825" w:rsidRDefault="005D1825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DB116" w14:textId="77777777" w:rsidR="005D1825" w:rsidRDefault="005D1825" w:rsidP="005C6F62">
      <w:r>
        <w:separator/>
      </w:r>
    </w:p>
  </w:footnote>
  <w:footnote w:type="continuationSeparator" w:id="0">
    <w:p w14:paraId="49646888" w14:textId="77777777" w:rsidR="005D1825" w:rsidRDefault="005D1825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2995" w14:textId="0E0CCFA1" w:rsidR="005C6F62" w:rsidRDefault="003B277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C860219" wp14:editId="7E4BF61F">
          <wp:simplePos x="0" y="0"/>
          <wp:positionH relativeFrom="margin">
            <wp:align>center</wp:align>
          </wp:positionH>
          <wp:positionV relativeFrom="paragraph">
            <wp:posOffset>-429895</wp:posOffset>
          </wp:positionV>
          <wp:extent cx="7743182" cy="1008535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82" cy="1008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157A"/>
    <w:multiLevelType w:val="hybridMultilevel"/>
    <w:tmpl w:val="520AB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7B45"/>
    <w:multiLevelType w:val="hybridMultilevel"/>
    <w:tmpl w:val="9FD43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65D89"/>
    <w:multiLevelType w:val="hybridMultilevel"/>
    <w:tmpl w:val="95741AF4"/>
    <w:lvl w:ilvl="0" w:tplc="527A6F9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144164"/>
    <w:multiLevelType w:val="hybridMultilevel"/>
    <w:tmpl w:val="DBCA7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2"/>
    <w:rsid w:val="00000EE0"/>
    <w:rsid w:val="000356A5"/>
    <w:rsid w:val="00075990"/>
    <w:rsid w:val="000C5FF2"/>
    <w:rsid w:val="000F1175"/>
    <w:rsid w:val="001149BA"/>
    <w:rsid w:val="00147305"/>
    <w:rsid w:val="0018280B"/>
    <w:rsid w:val="00187404"/>
    <w:rsid w:val="001E0A72"/>
    <w:rsid w:val="00254C5C"/>
    <w:rsid w:val="002D2C06"/>
    <w:rsid w:val="003067D8"/>
    <w:rsid w:val="003503AD"/>
    <w:rsid w:val="003654B7"/>
    <w:rsid w:val="003B277E"/>
    <w:rsid w:val="003C20A8"/>
    <w:rsid w:val="003E2B98"/>
    <w:rsid w:val="003F4C59"/>
    <w:rsid w:val="004636CF"/>
    <w:rsid w:val="004B48E9"/>
    <w:rsid w:val="004C64FF"/>
    <w:rsid w:val="004D34E4"/>
    <w:rsid w:val="004E0CD2"/>
    <w:rsid w:val="00504D28"/>
    <w:rsid w:val="00563455"/>
    <w:rsid w:val="005C47D3"/>
    <w:rsid w:val="005C4A8C"/>
    <w:rsid w:val="005C6F62"/>
    <w:rsid w:val="005D1825"/>
    <w:rsid w:val="00621622"/>
    <w:rsid w:val="006646F0"/>
    <w:rsid w:val="00673B76"/>
    <w:rsid w:val="0069291B"/>
    <w:rsid w:val="006D0505"/>
    <w:rsid w:val="006D68C7"/>
    <w:rsid w:val="006E3E2D"/>
    <w:rsid w:val="006F39E5"/>
    <w:rsid w:val="007342D2"/>
    <w:rsid w:val="00784358"/>
    <w:rsid w:val="007902DE"/>
    <w:rsid w:val="00805376"/>
    <w:rsid w:val="0084077F"/>
    <w:rsid w:val="0084377C"/>
    <w:rsid w:val="008A1D3D"/>
    <w:rsid w:val="0090066B"/>
    <w:rsid w:val="0092612A"/>
    <w:rsid w:val="00970910"/>
    <w:rsid w:val="0098405E"/>
    <w:rsid w:val="009947F3"/>
    <w:rsid w:val="009B1EF6"/>
    <w:rsid w:val="009C3F7A"/>
    <w:rsid w:val="00A00D9E"/>
    <w:rsid w:val="00AB5BC2"/>
    <w:rsid w:val="00B16560"/>
    <w:rsid w:val="00B22F1C"/>
    <w:rsid w:val="00B74BE2"/>
    <w:rsid w:val="00BC5DEB"/>
    <w:rsid w:val="00C806D8"/>
    <w:rsid w:val="00C826A2"/>
    <w:rsid w:val="00C83E34"/>
    <w:rsid w:val="00CA5873"/>
    <w:rsid w:val="00CC14FA"/>
    <w:rsid w:val="00D15D3A"/>
    <w:rsid w:val="00D555C3"/>
    <w:rsid w:val="00D96584"/>
    <w:rsid w:val="00E03D15"/>
    <w:rsid w:val="00E528C1"/>
    <w:rsid w:val="00E9134E"/>
    <w:rsid w:val="00ED1DA1"/>
    <w:rsid w:val="00F1112B"/>
    <w:rsid w:val="00F3285E"/>
    <w:rsid w:val="00F536D5"/>
    <w:rsid w:val="00F963B5"/>
    <w:rsid w:val="00FC0CA6"/>
    <w:rsid w:val="00FC180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D1D91"/>
  <w14:defaultImageDpi w14:val="300"/>
  <w15:docId w15:val="{BFE19311-C2FB-4793-9761-E045C166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4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4D8185-B6F0-4099-B646-0A0B9FC7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690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MICHELLE</cp:lastModifiedBy>
  <cp:revision>5</cp:revision>
  <cp:lastPrinted>2018-12-10T18:18:00Z</cp:lastPrinted>
  <dcterms:created xsi:type="dcterms:W3CDTF">2021-01-20T02:53:00Z</dcterms:created>
  <dcterms:modified xsi:type="dcterms:W3CDTF">2021-01-20T17:07:00Z</dcterms:modified>
</cp:coreProperties>
</file>