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8EFE" w14:textId="77777777" w:rsidR="003624F7" w:rsidRPr="009D283A" w:rsidRDefault="003624F7" w:rsidP="003624F7">
      <w:pPr>
        <w:jc w:val="center"/>
        <w:rPr>
          <w:rFonts w:ascii="Montserrat" w:hAnsi="Montserrat" w:cs="Times New Roman"/>
          <w:b/>
        </w:rPr>
      </w:pPr>
      <w:r w:rsidRPr="009D283A">
        <w:rPr>
          <w:rFonts w:ascii="Montserrat" w:hAnsi="Montserrat" w:cs="Times New Roman"/>
          <w:b/>
        </w:rPr>
        <w:t>Informe de desempeño de los Programas Presupuestarios del CONACYT</w:t>
      </w:r>
    </w:p>
    <w:p w14:paraId="626B96F7" w14:textId="77777777" w:rsidR="003624F7" w:rsidRPr="009D283A" w:rsidRDefault="003624F7" w:rsidP="003624F7">
      <w:pPr>
        <w:jc w:val="center"/>
        <w:rPr>
          <w:rFonts w:ascii="Montserrat" w:hAnsi="Montserrat" w:cs="Times New Roman"/>
          <w:b/>
        </w:rPr>
      </w:pPr>
    </w:p>
    <w:p w14:paraId="548B6E3A" w14:textId="449A04E3" w:rsidR="003624F7" w:rsidRPr="009D283A" w:rsidRDefault="003624F7" w:rsidP="003624F7">
      <w:pPr>
        <w:jc w:val="center"/>
        <w:rPr>
          <w:rFonts w:ascii="Montserrat" w:hAnsi="Montserrat" w:cs="Times New Roman"/>
          <w:b/>
        </w:rPr>
      </w:pPr>
      <w:r w:rsidRPr="009D283A">
        <w:rPr>
          <w:rFonts w:ascii="Montserrat" w:hAnsi="Montserrat" w:cs="Times New Roman"/>
          <w:b/>
        </w:rPr>
        <w:t>(4º Trimestre 2021)</w:t>
      </w:r>
    </w:p>
    <w:p w14:paraId="04108183" w14:textId="77777777" w:rsidR="003624F7" w:rsidRPr="002F0ACE" w:rsidRDefault="003624F7" w:rsidP="003624F7">
      <w:pPr>
        <w:jc w:val="center"/>
        <w:rPr>
          <w:rFonts w:ascii="Times New Roman" w:hAnsi="Times New Roman" w:cs="Times New Roman"/>
          <w:sz w:val="28"/>
          <w:szCs w:val="28"/>
        </w:rPr>
      </w:pPr>
    </w:p>
    <w:p w14:paraId="08453B49" w14:textId="7E338929" w:rsidR="003624F7" w:rsidRPr="008A3990" w:rsidRDefault="003624F7" w:rsidP="003624F7">
      <w:pPr>
        <w:jc w:val="both"/>
        <w:rPr>
          <w:rFonts w:ascii="Montserrat" w:hAnsi="Montserrat" w:cs="Times New Roman"/>
          <w:sz w:val="22"/>
          <w:szCs w:val="22"/>
        </w:rPr>
      </w:pPr>
      <w:r w:rsidRPr="008A3990">
        <w:rPr>
          <w:rFonts w:ascii="Montserrat" w:hAnsi="Montserrat" w:cs="Times New Roman"/>
          <w:sz w:val="22"/>
          <w:szCs w:val="22"/>
        </w:rPr>
        <w:t>En atención a la normatividad vigente en materia de monitoreo y evaluación, el Consejo Nacional de Ciencia y Tecnología (CONACYT), se encuentra mandatado a realizar reportes periódicos de los avances de metas de indicadores, correspondientes a sus programas presupuestarios. Dichos reportes, se basan en la información contenida en las Matrices de Indicadores de Resultados (MIR), registradas en el Portal aplicativo de la Secretaría de Hacienda (PASH).</w:t>
      </w:r>
    </w:p>
    <w:p w14:paraId="630017F0" w14:textId="77777777" w:rsidR="003624F7" w:rsidRPr="008A3990" w:rsidRDefault="003624F7" w:rsidP="003624F7">
      <w:pPr>
        <w:jc w:val="both"/>
        <w:rPr>
          <w:rFonts w:ascii="Montserrat" w:hAnsi="Montserrat" w:cs="Times New Roman"/>
          <w:sz w:val="22"/>
          <w:szCs w:val="22"/>
        </w:rPr>
      </w:pPr>
    </w:p>
    <w:p w14:paraId="15A349C7" w14:textId="77777777" w:rsidR="003624F7" w:rsidRPr="008A3990" w:rsidRDefault="003624F7" w:rsidP="003624F7">
      <w:pPr>
        <w:jc w:val="both"/>
        <w:rPr>
          <w:rFonts w:ascii="Montserrat" w:hAnsi="Montserrat" w:cs="Times New Roman"/>
          <w:sz w:val="22"/>
          <w:szCs w:val="22"/>
        </w:rPr>
      </w:pPr>
      <w:r w:rsidRPr="008A3990">
        <w:rPr>
          <w:rFonts w:ascii="Montserrat" w:hAnsi="Montserrat" w:cs="Times New Roman"/>
          <w:sz w:val="22"/>
          <w:szCs w:val="22"/>
        </w:rPr>
        <w:t>La mecánica de reporte ante las diversas instancias fiscalizadoras es la siguiente:</w:t>
      </w:r>
    </w:p>
    <w:p w14:paraId="345206E0" w14:textId="77777777" w:rsidR="003624F7" w:rsidRPr="008A3990" w:rsidRDefault="003624F7" w:rsidP="003624F7">
      <w:pPr>
        <w:jc w:val="both"/>
        <w:rPr>
          <w:rFonts w:ascii="Montserrat" w:hAnsi="Montserrat" w:cs="Times New Roman"/>
          <w:sz w:val="22"/>
          <w:szCs w:val="22"/>
        </w:rPr>
      </w:pPr>
    </w:p>
    <w:p w14:paraId="49DE7FF7" w14:textId="77777777" w:rsidR="003624F7" w:rsidRPr="008A3990" w:rsidRDefault="003624F7" w:rsidP="003624F7">
      <w:pPr>
        <w:pStyle w:val="Prrafodelista"/>
        <w:numPr>
          <w:ilvl w:val="0"/>
          <w:numId w:val="1"/>
        </w:numPr>
        <w:jc w:val="both"/>
        <w:rPr>
          <w:rFonts w:ascii="Montserrat" w:hAnsi="Montserrat" w:cs="Times New Roman"/>
          <w:sz w:val="22"/>
          <w:szCs w:val="22"/>
        </w:rPr>
      </w:pPr>
      <w:r w:rsidRPr="008A3990">
        <w:rPr>
          <w:rFonts w:ascii="Montserrat" w:hAnsi="Montserrat" w:cs="Times New Roman"/>
          <w:sz w:val="22"/>
          <w:szCs w:val="22"/>
        </w:rPr>
        <w:t>El primer y tercer trimestre, se reportan los indicadores de periodicidad trimestral.</w:t>
      </w:r>
    </w:p>
    <w:p w14:paraId="77DFF03B" w14:textId="77777777" w:rsidR="003624F7" w:rsidRPr="008A3990" w:rsidRDefault="003624F7" w:rsidP="003624F7">
      <w:pPr>
        <w:pStyle w:val="Prrafodelista"/>
        <w:numPr>
          <w:ilvl w:val="0"/>
          <w:numId w:val="1"/>
        </w:numPr>
        <w:jc w:val="both"/>
        <w:rPr>
          <w:rFonts w:ascii="Montserrat" w:hAnsi="Montserrat" w:cs="Times New Roman"/>
          <w:sz w:val="22"/>
          <w:szCs w:val="22"/>
        </w:rPr>
      </w:pPr>
      <w:r w:rsidRPr="008A3990">
        <w:rPr>
          <w:rFonts w:ascii="Montserrat" w:hAnsi="Montserrat" w:cs="Times New Roman"/>
          <w:sz w:val="22"/>
          <w:szCs w:val="22"/>
        </w:rPr>
        <w:t>El segundo trimestre, se reportan los indicadores trimestrales, así como los que derivan del primer semestre.</w:t>
      </w:r>
    </w:p>
    <w:p w14:paraId="65100EE7" w14:textId="77777777" w:rsidR="003624F7" w:rsidRPr="008A3990" w:rsidRDefault="003624F7" w:rsidP="003624F7">
      <w:pPr>
        <w:pStyle w:val="Prrafodelista"/>
        <w:numPr>
          <w:ilvl w:val="0"/>
          <w:numId w:val="1"/>
        </w:numPr>
        <w:jc w:val="both"/>
        <w:rPr>
          <w:rFonts w:ascii="Montserrat" w:hAnsi="Montserrat" w:cs="Times New Roman"/>
          <w:sz w:val="22"/>
          <w:szCs w:val="22"/>
        </w:rPr>
      </w:pPr>
      <w:r w:rsidRPr="008A3990">
        <w:rPr>
          <w:rFonts w:ascii="Montserrat" w:hAnsi="Montserrat" w:cs="Times New Roman"/>
          <w:sz w:val="22"/>
          <w:szCs w:val="22"/>
        </w:rPr>
        <w:t xml:space="preserve">El cierre de año, se reportan los indicadores trimestrales, los del segundo semestre y los anuales. </w:t>
      </w:r>
    </w:p>
    <w:p w14:paraId="34189D58" w14:textId="77777777" w:rsidR="003624F7" w:rsidRPr="008A3990" w:rsidRDefault="003624F7" w:rsidP="003624F7">
      <w:pPr>
        <w:ind w:left="360"/>
        <w:jc w:val="both"/>
        <w:rPr>
          <w:rFonts w:ascii="Montserrat" w:hAnsi="Montserrat" w:cs="Times New Roman"/>
          <w:sz w:val="22"/>
          <w:szCs w:val="22"/>
        </w:rPr>
      </w:pPr>
    </w:p>
    <w:p w14:paraId="2F590240" w14:textId="42AC31A7" w:rsidR="003624F7" w:rsidRPr="008A3990" w:rsidRDefault="003624F7" w:rsidP="003624F7">
      <w:pPr>
        <w:jc w:val="both"/>
        <w:rPr>
          <w:rFonts w:ascii="Montserrat" w:hAnsi="Montserrat" w:cs="Times New Roman"/>
          <w:sz w:val="22"/>
          <w:szCs w:val="22"/>
        </w:rPr>
      </w:pPr>
      <w:r w:rsidRPr="008A3990">
        <w:rPr>
          <w:rFonts w:ascii="Montserrat" w:hAnsi="Montserrat" w:cs="Times New Roman"/>
          <w:sz w:val="22"/>
          <w:szCs w:val="22"/>
          <w:highlight w:val="yellow"/>
        </w:rPr>
        <w:t>Cabe señalar que, para calcular el desempeño de cada programa</w:t>
      </w:r>
      <w:r w:rsidR="008A3990" w:rsidRPr="008A3990">
        <w:rPr>
          <w:rFonts w:ascii="Montserrat" w:hAnsi="Montserrat" w:cs="Times New Roman"/>
          <w:sz w:val="22"/>
          <w:szCs w:val="22"/>
          <w:highlight w:val="yellow"/>
        </w:rPr>
        <w:t xml:space="preserve">, </w:t>
      </w:r>
      <w:r w:rsidRPr="008A3990">
        <w:rPr>
          <w:rFonts w:ascii="Montserrat" w:hAnsi="Montserrat" w:cs="Times New Roman"/>
          <w:sz w:val="22"/>
          <w:szCs w:val="22"/>
          <w:highlight w:val="yellow"/>
        </w:rPr>
        <w:t>se analiza el tipo de indicador, si es porcentaje, tasa de variación, promedio, etcétera, y el sentido del indicador, con base estos elementos se determina el tipo de fórmula con la que se determina el porcentaje de cumplimiento. Comúnmente, se genera un cociente entre la meta alcanzada con respecto a la meta planeada para el trimestre correspondiente, multiplicado por 100 a fin de expresarse como porcentaje</w:t>
      </w:r>
      <w:r w:rsidR="008A3990" w:rsidRPr="008A3990">
        <w:rPr>
          <w:rFonts w:ascii="Montserrat" w:hAnsi="Montserrat" w:cs="Times New Roman"/>
          <w:sz w:val="22"/>
          <w:szCs w:val="22"/>
          <w:highlight w:val="yellow"/>
        </w:rPr>
        <w:t>.</w:t>
      </w:r>
    </w:p>
    <w:p w14:paraId="04B81D75" w14:textId="77777777" w:rsidR="003624F7" w:rsidRPr="008A3990" w:rsidRDefault="003624F7" w:rsidP="003624F7">
      <w:pPr>
        <w:jc w:val="both"/>
        <w:rPr>
          <w:rFonts w:ascii="Montserrat" w:hAnsi="Montserrat" w:cs="Times New Roman"/>
          <w:sz w:val="22"/>
          <w:szCs w:val="22"/>
        </w:rPr>
      </w:pPr>
    </w:p>
    <w:p w14:paraId="264EBA91" w14:textId="77777777" w:rsidR="003624F7" w:rsidRPr="008A3990" w:rsidRDefault="003624F7" w:rsidP="003624F7">
      <w:pPr>
        <w:jc w:val="both"/>
        <w:rPr>
          <w:rFonts w:ascii="Montserrat" w:hAnsi="Montserrat" w:cs="Times New Roman"/>
          <w:sz w:val="22"/>
          <w:szCs w:val="22"/>
        </w:rPr>
      </w:pPr>
      <w:r w:rsidRPr="008A3990">
        <w:rPr>
          <w:rFonts w:ascii="Montserrat" w:hAnsi="Montserrat" w:cs="Times New Roman"/>
          <w:sz w:val="22"/>
          <w:szCs w:val="22"/>
        </w:rPr>
        <w:t>Los rangos para evaluar el desempeño de los programas presupuestarios son los siguientes:</w:t>
      </w:r>
    </w:p>
    <w:p w14:paraId="355814D5" w14:textId="77777777" w:rsidR="003624F7" w:rsidRPr="008A3990" w:rsidRDefault="003624F7" w:rsidP="003624F7">
      <w:pPr>
        <w:jc w:val="both"/>
        <w:rPr>
          <w:rFonts w:ascii="Montserrat" w:hAnsi="Montserrat" w:cs="Times New Roman"/>
          <w:sz w:val="22"/>
          <w:szCs w:val="22"/>
        </w:rPr>
      </w:pPr>
    </w:p>
    <w:p w14:paraId="0F240626" w14:textId="77777777" w:rsidR="003624F7" w:rsidRPr="008A3990" w:rsidRDefault="003624F7" w:rsidP="003624F7">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740CA051" w14:textId="77777777" w:rsidR="003624F7" w:rsidRPr="008A3990" w:rsidRDefault="003624F7" w:rsidP="003624F7">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Cuando el indicador tiene un desempeño menor al 80 por ciento, la meta alcanzada es mucho menor a la meta planeada</w:t>
      </w:r>
    </w:p>
    <w:p w14:paraId="236F2C54" w14:textId="77777777" w:rsidR="003624F7" w:rsidRPr="008A3990" w:rsidRDefault="003624F7" w:rsidP="003624F7">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Si el indicador es superior al 115 por ciento, denota que la meta alcanzada es mucho mayor que la planeada.</w:t>
      </w:r>
    </w:p>
    <w:p w14:paraId="7B045161" w14:textId="77777777" w:rsidR="003624F7" w:rsidRPr="008A3990" w:rsidRDefault="003624F7" w:rsidP="003624F7">
      <w:pPr>
        <w:jc w:val="both"/>
        <w:rPr>
          <w:rFonts w:ascii="Montserrat" w:hAnsi="Montserrat" w:cs="Times New Roman"/>
          <w:sz w:val="22"/>
          <w:szCs w:val="22"/>
        </w:rPr>
      </w:pPr>
    </w:p>
    <w:p w14:paraId="6FB2DF49" w14:textId="77777777" w:rsidR="003624F7" w:rsidRPr="008A3990" w:rsidRDefault="003624F7" w:rsidP="003624F7">
      <w:pPr>
        <w:jc w:val="both"/>
        <w:rPr>
          <w:rFonts w:ascii="Montserrat" w:hAnsi="Montserrat" w:cs="Times New Roman"/>
          <w:noProof/>
          <w:color w:val="FF0000"/>
          <w:sz w:val="22"/>
          <w:szCs w:val="22"/>
          <w:lang w:val="es-MX" w:eastAsia="es-MX"/>
        </w:rPr>
      </w:pPr>
      <w:r w:rsidRPr="008A3990">
        <w:rPr>
          <w:rFonts w:ascii="Montserrat" w:hAnsi="Montserrat" w:cs="Times New Roman"/>
          <w:sz w:val="22"/>
          <w:szCs w:val="22"/>
        </w:rPr>
        <w:t>En los dos últimos casos, se sugiere mejorar la planificación de las metas, a efecto de contar con un buen desempeño del indicador.</w:t>
      </w:r>
    </w:p>
    <w:p w14:paraId="21A06833" w14:textId="280FD99C" w:rsidR="003624F7" w:rsidRPr="008A3990" w:rsidRDefault="003624F7" w:rsidP="003624F7">
      <w:pPr>
        <w:jc w:val="both"/>
        <w:rPr>
          <w:rFonts w:ascii="Montserrat" w:hAnsi="Montserrat" w:cs="Times New Roman"/>
          <w:sz w:val="22"/>
          <w:szCs w:val="22"/>
        </w:rPr>
      </w:pPr>
      <w:r w:rsidRPr="008A3990">
        <w:rPr>
          <w:rFonts w:ascii="Montserrat" w:hAnsi="Montserrat" w:cs="Times New Roman"/>
          <w:sz w:val="22"/>
          <w:szCs w:val="22"/>
        </w:rPr>
        <w:t>Como aspectos relevantes del balance del 4° trimestre de 202</w:t>
      </w:r>
      <w:r w:rsidR="008A3990">
        <w:rPr>
          <w:rFonts w:ascii="Montserrat" w:hAnsi="Montserrat" w:cs="Times New Roman"/>
          <w:sz w:val="22"/>
          <w:szCs w:val="22"/>
        </w:rPr>
        <w:t>1</w:t>
      </w:r>
      <w:r w:rsidRPr="008A3990">
        <w:rPr>
          <w:rFonts w:ascii="Montserrat" w:hAnsi="Montserrat" w:cs="Times New Roman"/>
          <w:sz w:val="22"/>
          <w:szCs w:val="22"/>
        </w:rPr>
        <w:t>, en los cuadros 1 y 2, se exponen los siguientes hallazgos:</w:t>
      </w:r>
    </w:p>
    <w:tbl>
      <w:tblPr>
        <w:tblW w:w="0" w:type="auto"/>
        <w:tblCellMar>
          <w:left w:w="70" w:type="dxa"/>
          <w:right w:w="70" w:type="dxa"/>
        </w:tblCellMar>
        <w:tblLook w:val="04A0" w:firstRow="1" w:lastRow="0" w:firstColumn="1" w:lastColumn="0" w:noHBand="0" w:noVBand="1"/>
      </w:tblPr>
      <w:tblGrid>
        <w:gridCol w:w="3261"/>
        <w:gridCol w:w="2051"/>
        <w:gridCol w:w="1918"/>
        <w:gridCol w:w="1701"/>
        <w:gridCol w:w="1041"/>
      </w:tblGrid>
      <w:tr w:rsidR="009414BB" w:rsidRPr="009414BB" w14:paraId="211A5AB2" w14:textId="77777777" w:rsidTr="009414BB">
        <w:trPr>
          <w:trHeight w:val="300"/>
        </w:trPr>
        <w:tc>
          <w:tcPr>
            <w:tcW w:w="0" w:type="auto"/>
            <w:gridSpan w:val="5"/>
            <w:tcBorders>
              <w:top w:val="nil"/>
              <w:left w:val="nil"/>
              <w:bottom w:val="nil"/>
              <w:right w:val="nil"/>
            </w:tcBorders>
            <w:shd w:val="clear" w:color="000000" w:fill="FFFFFF"/>
            <w:vAlign w:val="center"/>
            <w:hideMark/>
          </w:tcPr>
          <w:p w14:paraId="31D70653"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lastRenderedPageBreak/>
              <w:t>Cuadro 1: Cumplimiento de las metas al cuarto trimestre de 2021 de los Indicadores de las MIR del CONACYT</w:t>
            </w:r>
          </w:p>
        </w:tc>
      </w:tr>
      <w:tr w:rsidR="009414BB" w:rsidRPr="009414BB" w14:paraId="1974ED7F" w14:textId="77777777" w:rsidTr="009414BB">
        <w:trPr>
          <w:trHeight w:val="300"/>
        </w:trPr>
        <w:tc>
          <w:tcPr>
            <w:tcW w:w="3261" w:type="dxa"/>
            <w:tcBorders>
              <w:top w:val="nil"/>
              <w:left w:val="nil"/>
              <w:bottom w:val="nil"/>
              <w:right w:val="nil"/>
            </w:tcBorders>
            <w:shd w:val="clear" w:color="000000" w:fill="FFFFFF"/>
            <w:vAlign w:val="center"/>
            <w:hideMark/>
          </w:tcPr>
          <w:p w14:paraId="0B162F84"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2051" w:type="dxa"/>
            <w:tcBorders>
              <w:top w:val="nil"/>
              <w:left w:val="nil"/>
              <w:bottom w:val="nil"/>
              <w:right w:val="nil"/>
            </w:tcBorders>
            <w:shd w:val="clear" w:color="000000" w:fill="FFFFFF"/>
            <w:vAlign w:val="center"/>
            <w:hideMark/>
          </w:tcPr>
          <w:p w14:paraId="6D298E0D"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1918" w:type="dxa"/>
            <w:tcBorders>
              <w:top w:val="nil"/>
              <w:left w:val="nil"/>
              <w:bottom w:val="nil"/>
              <w:right w:val="nil"/>
            </w:tcBorders>
            <w:shd w:val="clear" w:color="000000" w:fill="FFFFFF"/>
            <w:vAlign w:val="center"/>
            <w:hideMark/>
          </w:tcPr>
          <w:p w14:paraId="6E3B8447"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1701" w:type="dxa"/>
            <w:tcBorders>
              <w:top w:val="nil"/>
              <w:left w:val="nil"/>
              <w:bottom w:val="nil"/>
              <w:right w:val="nil"/>
            </w:tcBorders>
            <w:shd w:val="clear" w:color="000000" w:fill="FFFFFF"/>
            <w:vAlign w:val="center"/>
            <w:hideMark/>
          </w:tcPr>
          <w:p w14:paraId="7C4E85DC"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1041" w:type="dxa"/>
            <w:tcBorders>
              <w:top w:val="nil"/>
              <w:left w:val="nil"/>
              <w:bottom w:val="nil"/>
              <w:right w:val="nil"/>
            </w:tcBorders>
            <w:shd w:val="clear" w:color="000000" w:fill="FFFFFF"/>
            <w:vAlign w:val="center"/>
            <w:hideMark/>
          </w:tcPr>
          <w:p w14:paraId="6B7242AE"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r>
      <w:tr w:rsidR="009414BB" w:rsidRPr="009414BB" w14:paraId="4F2FD53F" w14:textId="77777777" w:rsidTr="009414BB">
        <w:trPr>
          <w:trHeight w:val="420"/>
        </w:trPr>
        <w:tc>
          <w:tcPr>
            <w:tcW w:w="3261" w:type="dxa"/>
            <w:vMerge w:val="restart"/>
            <w:tcBorders>
              <w:top w:val="single" w:sz="4" w:space="0" w:color="1F5045"/>
              <w:left w:val="single" w:sz="4" w:space="0" w:color="1F5045"/>
              <w:bottom w:val="single" w:sz="4" w:space="0" w:color="1F5045"/>
              <w:right w:val="single" w:sz="4" w:space="0" w:color="1F5045"/>
            </w:tcBorders>
            <w:shd w:val="clear" w:color="000000" w:fill="318270"/>
            <w:vAlign w:val="center"/>
            <w:hideMark/>
          </w:tcPr>
          <w:p w14:paraId="35C7E459"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Programa presupuestario (Modalidad y nombre)</w:t>
            </w:r>
          </w:p>
        </w:tc>
        <w:tc>
          <w:tcPr>
            <w:tcW w:w="5670" w:type="dxa"/>
            <w:gridSpan w:val="3"/>
            <w:tcBorders>
              <w:top w:val="single" w:sz="4" w:space="0" w:color="1F5045"/>
              <w:left w:val="nil"/>
              <w:bottom w:val="single" w:sz="4" w:space="0" w:color="1F5045"/>
              <w:right w:val="single" w:sz="4" w:space="0" w:color="1F5045"/>
            </w:tcBorders>
            <w:shd w:val="clear" w:color="000000" w:fill="318270"/>
            <w:noWrap/>
            <w:vAlign w:val="center"/>
            <w:hideMark/>
          </w:tcPr>
          <w:p w14:paraId="5090018C" w14:textId="732CFD33"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 xml:space="preserve">Indicadores por tipo </w:t>
            </w:r>
            <w:r w:rsidRPr="009414BB">
              <w:rPr>
                <w:rFonts w:ascii="Montserrat" w:eastAsia="Times New Roman" w:hAnsi="Montserrat" w:cs="Calibri"/>
                <w:b/>
                <w:bCs/>
                <w:color w:val="FFFFFF"/>
                <w:sz w:val="18"/>
                <w:szCs w:val="18"/>
                <w:lang w:val="es-MX" w:eastAsia="es-MX"/>
              </w:rPr>
              <w:t>de cumplimiento</w:t>
            </w:r>
            <w:r w:rsidRPr="009414BB">
              <w:rPr>
                <w:rFonts w:ascii="Montserrat" w:eastAsia="Times New Roman" w:hAnsi="Montserrat" w:cs="Calibri"/>
                <w:b/>
                <w:bCs/>
                <w:color w:val="FFFFFF"/>
                <w:sz w:val="18"/>
                <w:szCs w:val="18"/>
                <w:lang w:val="es-MX" w:eastAsia="es-MX"/>
              </w:rPr>
              <w:t xml:space="preserve"> de la meta</w:t>
            </w:r>
          </w:p>
        </w:tc>
        <w:tc>
          <w:tcPr>
            <w:tcW w:w="1041" w:type="dxa"/>
            <w:vMerge w:val="restart"/>
            <w:tcBorders>
              <w:top w:val="single" w:sz="4" w:space="0" w:color="1F5045"/>
              <w:left w:val="single" w:sz="4" w:space="0" w:color="1F5045"/>
              <w:bottom w:val="single" w:sz="4" w:space="0" w:color="1F5045"/>
              <w:right w:val="single" w:sz="4" w:space="0" w:color="1F5045"/>
            </w:tcBorders>
            <w:shd w:val="clear" w:color="000000" w:fill="318270"/>
            <w:noWrap/>
            <w:vAlign w:val="center"/>
            <w:hideMark/>
          </w:tcPr>
          <w:p w14:paraId="3F98422F"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Total</w:t>
            </w:r>
          </w:p>
        </w:tc>
      </w:tr>
      <w:tr w:rsidR="009414BB" w:rsidRPr="009414BB" w14:paraId="0EBB1940" w14:textId="77777777" w:rsidTr="009414BB">
        <w:trPr>
          <w:trHeight w:val="810"/>
        </w:trPr>
        <w:tc>
          <w:tcPr>
            <w:tcW w:w="3261" w:type="dxa"/>
            <w:vMerge/>
            <w:tcBorders>
              <w:top w:val="single" w:sz="4" w:space="0" w:color="1F5045"/>
              <w:left w:val="single" w:sz="4" w:space="0" w:color="1F5045"/>
              <w:bottom w:val="single" w:sz="4" w:space="0" w:color="1F5045"/>
              <w:right w:val="single" w:sz="4" w:space="0" w:color="1F5045"/>
            </w:tcBorders>
            <w:vAlign w:val="center"/>
            <w:hideMark/>
          </w:tcPr>
          <w:p w14:paraId="7914B95C" w14:textId="77777777" w:rsidR="009414BB" w:rsidRPr="009414BB" w:rsidRDefault="009414BB" w:rsidP="009414BB">
            <w:pPr>
              <w:rPr>
                <w:rFonts w:ascii="Montserrat" w:eastAsia="Times New Roman" w:hAnsi="Montserrat" w:cs="Calibri"/>
                <w:b/>
                <w:bCs/>
                <w:color w:val="FFFFFF"/>
                <w:sz w:val="18"/>
                <w:szCs w:val="18"/>
                <w:lang w:val="es-MX" w:eastAsia="es-MX"/>
              </w:rPr>
            </w:pPr>
          </w:p>
        </w:tc>
        <w:tc>
          <w:tcPr>
            <w:tcW w:w="2051" w:type="dxa"/>
            <w:tcBorders>
              <w:top w:val="nil"/>
              <w:left w:val="nil"/>
              <w:bottom w:val="single" w:sz="4" w:space="0" w:color="1F5045"/>
              <w:right w:val="single" w:sz="4" w:space="0" w:color="1F5045"/>
            </w:tcBorders>
            <w:shd w:val="clear" w:color="000000" w:fill="318270"/>
            <w:vAlign w:val="center"/>
            <w:hideMark/>
          </w:tcPr>
          <w:p w14:paraId="2B17F8B5"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Indicadores menores al 80%</w:t>
            </w:r>
          </w:p>
        </w:tc>
        <w:tc>
          <w:tcPr>
            <w:tcW w:w="1918" w:type="dxa"/>
            <w:tcBorders>
              <w:top w:val="nil"/>
              <w:left w:val="nil"/>
              <w:bottom w:val="single" w:sz="4" w:space="0" w:color="1F5045"/>
              <w:right w:val="single" w:sz="4" w:space="0" w:color="1F5045"/>
            </w:tcBorders>
            <w:shd w:val="clear" w:color="000000" w:fill="318270"/>
            <w:vAlign w:val="center"/>
            <w:hideMark/>
          </w:tcPr>
          <w:p w14:paraId="51ACFC03"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Indicadores entre 80% y 115%</w:t>
            </w:r>
          </w:p>
        </w:tc>
        <w:tc>
          <w:tcPr>
            <w:tcW w:w="1701" w:type="dxa"/>
            <w:tcBorders>
              <w:top w:val="nil"/>
              <w:left w:val="nil"/>
              <w:bottom w:val="single" w:sz="4" w:space="0" w:color="1F5045"/>
              <w:right w:val="single" w:sz="4" w:space="0" w:color="1F5045"/>
            </w:tcBorders>
            <w:shd w:val="clear" w:color="000000" w:fill="318270"/>
            <w:vAlign w:val="center"/>
            <w:hideMark/>
          </w:tcPr>
          <w:p w14:paraId="744CEB22"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Indicadores mayores al 115%</w:t>
            </w:r>
          </w:p>
        </w:tc>
        <w:tc>
          <w:tcPr>
            <w:tcW w:w="1041" w:type="dxa"/>
            <w:vMerge/>
            <w:tcBorders>
              <w:top w:val="single" w:sz="4" w:space="0" w:color="1F5045"/>
              <w:left w:val="single" w:sz="4" w:space="0" w:color="1F5045"/>
              <w:bottom w:val="single" w:sz="4" w:space="0" w:color="1F5045"/>
              <w:right w:val="single" w:sz="4" w:space="0" w:color="1F5045"/>
            </w:tcBorders>
            <w:vAlign w:val="center"/>
            <w:hideMark/>
          </w:tcPr>
          <w:p w14:paraId="45E574B5" w14:textId="77777777" w:rsidR="009414BB" w:rsidRPr="009414BB" w:rsidRDefault="009414BB" w:rsidP="009414BB">
            <w:pPr>
              <w:rPr>
                <w:rFonts w:ascii="Montserrat" w:eastAsia="Times New Roman" w:hAnsi="Montserrat" w:cs="Calibri"/>
                <w:b/>
                <w:bCs/>
                <w:color w:val="FFFFFF"/>
                <w:sz w:val="18"/>
                <w:szCs w:val="18"/>
                <w:lang w:val="es-MX" w:eastAsia="es-MX"/>
              </w:rPr>
            </w:pPr>
          </w:p>
        </w:tc>
      </w:tr>
      <w:tr w:rsidR="009414BB" w:rsidRPr="009414BB" w14:paraId="4168E322" w14:textId="77777777" w:rsidTr="009414BB">
        <w:trPr>
          <w:trHeight w:val="540"/>
        </w:trPr>
        <w:tc>
          <w:tcPr>
            <w:tcW w:w="3261" w:type="dxa"/>
            <w:tcBorders>
              <w:top w:val="nil"/>
              <w:left w:val="nil"/>
              <w:bottom w:val="nil"/>
              <w:right w:val="nil"/>
            </w:tcBorders>
            <w:shd w:val="clear" w:color="000000" w:fill="FFFFFF"/>
            <w:vAlign w:val="center"/>
            <w:hideMark/>
          </w:tcPr>
          <w:p w14:paraId="3AC46964" w14:textId="77777777" w:rsidR="009414BB" w:rsidRPr="009414BB" w:rsidRDefault="009414BB" w:rsidP="009414BB">
            <w:pP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 xml:space="preserve">E003: </w:t>
            </w:r>
            <w:r w:rsidRPr="009414BB">
              <w:rPr>
                <w:rFonts w:ascii="Montserrat" w:eastAsia="Times New Roman" w:hAnsi="Montserrat" w:cs="Calibri"/>
                <w:color w:val="000000"/>
                <w:sz w:val="18"/>
                <w:szCs w:val="18"/>
                <w:lang w:val="es-MX" w:eastAsia="es-MX"/>
              </w:rPr>
              <w:t>Investigación científica, desarrollo e innovación</w:t>
            </w:r>
          </w:p>
        </w:tc>
        <w:tc>
          <w:tcPr>
            <w:tcW w:w="2051" w:type="dxa"/>
            <w:tcBorders>
              <w:top w:val="nil"/>
              <w:left w:val="nil"/>
              <w:bottom w:val="nil"/>
              <w:right w:val="nil"/>
            </w:tcBorders>
            <w:shd w:val="clear" w:color="000000" w:fill="FFFFFF"/>
            <w:noWrap/>
            <w:vAlign w:val="center"/>
            <w:hideMark/>
          </w:tcPr>
          <w:p w14:paraId="1C0C0390"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2</w:t>
            </w:r>
          </w:p>
        </w:tc>
        <w:tc>
          <w:tcPr>
            <w:tcW w:w="1918" w:type="dxa"/>
            <w:tcBorders>
              <w:top w:val="nil"/>
              <w:left w:val="nil"/>
              <w:bottom w:val="nil"/>
              <w:right w:val="nil"/>
            </w:tcBorders>
            <w:shd w:val="clear" w:color="000000" w:fill="FFFFFF"/>
            <w:noWrap/>
            <w:vAlign w:val="center"/>
            <w:hideMark/>
          </w:tcPr>
          <w:p w14:paraId="13F163D0"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7</w:t>
            </w:r>
          </w:p>
        </w:tc>
        <w:tc>
          <w:tcPr>
            <w:tcW w:w="1701" w:type="dxa"/>
            <w:tcBorders>
              <w:top w:val="nil"/>
              <w:left w:val="nil"/>
              <w:bottom w:val="nil"/>
              <w:right w:val="nil"/>
            </w:tcBorders>
            <w:shd w:val="clear" w:color="000000" w:fill="FFFFFF"/>
            <w:noWrap/>
            <w:vAlign w:val="center"/>
            <w:hideMark/>
          </w:tcPr>
          <w:p w14:paraId="2E8ED464"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4</w:t>
            </w:r>
          </w:p>
        </w:tc>
        <w:tc>
          <w:tcPr>
            <w:tcW w:w="1041" w:type="dxa"/>
            <w:tcBorders>
              <w:top w:val="nil"/>
              <w:left w:val="nil"/>
              <w:bottom w:val="nil"/>
              <w:right w:val="nil"/>
            </w:tcBorders>
            <w:shd w:val="clear" w:color="000000" w:fill="FFFFFF"/>
            <w:noWrap/>
            <w:vAlign w:val="center"/>
            <w:hideMark/>
          </w:tcPr>
          <w:p w14:paraId="3876D227"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13</w:t>
            </w:r>
          </w:p>
        </w:tc>
      </w:tr>
      <w:tr w:rsidR="009414BB" w:rsidRPr="009414BB" w14:paraId="4542615D" w14:textId="77777777" w:rsidTr="009414BB">
        <w:trPr>
          <w:trHeight w:val="810"/>
        </w:trPr>
        <w:tc>
          <w:tcPr>
            <w:tcW w:w="3261" w:type="dxa"/>
            <w:tcBorders>
              <w:top w:val="nil"/>
              <w:left w:val="nil"/>
              <w:bottom w:val="nil"/>
              <w:right w:val="nil"/>
            </w:tcBorders>
            <w:shd w:val="clear" w:color="000000" w:fill="FFFFFF"/>
            <w:vAlign w:val="center"/>
            <w:hideMark/>
          </w:tcPr>
          <w:p w14:paraId="6FDE5555"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F003</w:t>
            </w:r>
            <w:r w:rsidRPr="009414BB">
              <w:rPr>
                <w:rFonts w:ascii="Montserrat" w:eastAsia="Times New Roman" w:hAnsi="Montserrat" w:cs="Calibri"/>
                <w:color w:val="000000"/>
                <w:sz w:val="18"/>
                <w:szCs w:val="18"/>
                <w:lang w:val="es-MX" w:eastAsia="es-MX"/>
              </w:rPr>
              <w:t>: Programas nacionales estratégicos de ciencia, tecnología y vinculación con el sector social, público y privado.</w:t>
            </w:r>
          </w:p>
        </w:tc>
        <w:tc>
          <w:tcPr>
            <w:tcW w:w="2051" w:type="dxa"/>
            <w:tcBorders>
              <w:top w:val="nil"/>
              <w:left w:val="nil"/>
              <w:bottom w:val="nil"/>
              <w:right w:val="nil"/>
            </w:tcBorders>
            <w:shd w:val="clear" w:color="000000" w:fill="FFFFFF"/>
            <w:noWrap/>
            <w:vAlign w:val="center"/>
            <w:hideMark/>
          </w:tcPr>
          <w:p w14:paraId="3F7C90BF"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918" w:type="dxa"/>
            <w:tcBorders>
              <w:top w:val="nil"/>
              <w:left w:val="nil"/>
              <w:bottom w:val="nil"/>
              <w:right w:val="nil"/>
            </w:tcBorders>
            <w:shd w:val="clear" w:color="000000" w:fill="FFFFFF"/>
            <w:noWrap/>
            <w:vAlign w:val="center"/>
            <w:hideMark/>
          </w:tcPr>
          <w:p w14:paraId="28C9B466"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w:t>
            </w:r>
          </w:p>
        </w:tc>
        <w:tc>
          <w:tcPr>
            <w:tcW w:w="1701" w:type="dxa"/>
            <w:tcBorders>
              <w:top w:val="nil"/>
              <w:left w:val="nil"/>
              <w:bottom w:val="nil"/>
              <w:right w:val="nil"/>
            </w:tcBorders>
            <w:shd w:val="clear" w:color="000000" w:fill="FFFFFF"/>
            <w:noWrap/>
            <w:vAlign w:val="center"/>
            <w:hideMark/>
          </w:tcPr>
          <w:p w14:paraId="5D1A6BB1"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041" w:type="dxa"/>
            <w:tcBorders>
              <w:top w:val="nil"/>
              <w:left w:val="nil"/>
              <w:bottom w:val="nil"/>
              <w:right w:val="nil"/>
            </w:tcBorders>
            <w:shd w:val="clear" w:color="000000" w:fill="FFFFFF"/>
            <w:noWrap/>
            <w:vAlign w:val="center"/>
            <w:hideMark/>
          </w:tcPr>
          <w:p w14:paraId="59A25FCF"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w:t>
            </w:r>
          </w:p>
        </w:tc>
      </w:tr>
      <w:tr w:rsidR="009414BB" w:rsidRPr="009414BB" w14:paraId="726DF9D4" w14:textId="77777777" w:rsidTr="009414BB">
        <w:trPr>
          <w:trHeight w:val="540"/>
        </w:trPr>
        <w:tc>
          <w:tcPr>
            <w:tcW w:w="3261" w:type="dxa"/>
            <w:tcBorders>
              <w:top w:val="nil"/>
              <w:left w:val="nil"/>
              <w:bottom w:val="nil"/>
              <w:right w:val="nil"/>
            </w:tcBorders>
            <w:shd w:val="clear" w:color="000000" w:fill="FFFFFF"/>
            <w:vAlign w:val="center"/>
            <w:hideMark/>
          </w:tcPr>
          <w:p w14:paraId="1E9E0C79"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K010:</w:t>
            </w:r>
            <w:r w:rsidRPr="009414BB">
              <w:rPr>
                <w:rFonts w:ascii="Montserrat" w:eastAsia="Times New Roman" w:hAnsi="Montserrat" w:cs="Calibri"/>
                <w:color w:val="000000"/>
                <w:sz w:val="18"/>
                <w:szCs w:val="18"/>
                <w:lang w:val="es-MX" w:eastAsia="es-MX"/>
              </w:rPr>
              <w:t xml:space="preserve"> Proyectos de infraestructura social de ciencia y tecnología</w:t>
            </w:r>
          </w:p>
        </w:tc>
        <w:tc>
          <w:tcPr>
            <w:tcW w:w="2051" w:type="dxa"/>
            <w:tcBorders>
              <w:top w:val="nil"/>
              <w:left w:val="nil"/>
              <w:bottom w:val="nil"/>
              <w:right w:val="nil"/>
            </w:tcBorders>
            <w:shd w:val="clear" w:color="000000" w:fill="FFFFFF"/>
            <w:noWrap/>
            <w:vAlign w:val="center"/>
            <w:hideMark/>
          </w:tcPr>
          <w:p w14:paraId="30512FB6"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918" w:type="dxa"/>
            <w:tcBorders>
              <w:top w:val="nil"/>
              <w:left w:val="nil"/>
              <w:bottom w:val="nil"/>
              <w:right w:val="nil"/>
            </w:tcBorders>
            <w:shd w:val="clear" w:color="000000" w:fill="FFFFFF"/>
            <w:noWrap/>
            <w:vAlign w:val="center"/>
            <w:hideMark/>
          </w:tcPr>
          <w:p w14:paraId="35A023F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6</w:t>
            </w:r>
          </w:p>
        </w:tc>
        <w:tc>
          <w:tcPr>
            <w:tcW w:w="1701" w:type="dxa"/>
            <w:tcBorders>
              <w:top w:val="nil"/>
              <w:left w:val="nil"/>
              <w:bottom w:val="nil"/>
              <w:right w:val="nil"/>
            </w:tcBorders>
            <w:shd w:val="clear" w:color="000000" w:fill="FFFFFF"/>
            <w:noWrap/>
            <w:vAlign w:val="center"/>
            <w:hideMark/>
          </w:tcPr>
          <w:p w14:paraId="5B90CC8A"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041" w:type="dxa"/>
            <w:tcBorders>
              <w:top w:val="nil"/>
              <w:left w:val="nil"/>
              <w:bottom w:val="nil"/>
              <w:right w:val="nil"/>
            </w:tcBorders>
            <w:shd w:val="clear" w:color="000000" w:fill="FFFFFF"/>
            <w:noWrap/>
            <w:vAlign w:val="center"/>
            <w:hideMark/>
          </w:tcPr>
          <w:p w14:paraId="5D03B61A"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6</w:t>
            </w:r>
          </w:p>
        </w:tc>
      </w:tr>
      <w:tr w:rsidR="009414BB" w:rsidRPr="009414BB" w14:paraId="3664E279" w14:textId="77777777" w:rsidTr="009414BB">
        <w:trPr>
          <w:trHeight w:val="540"/>
        </w:trPr>
        <w:tc>
          <w:tcPr>
            <w:tcW w:w="3261" w:type="dxa"/>
            <w:tcBorders>
              <w:top w:val="nil"/>
              <w:left w:val="nil"/>
              <w:bottom w:val="nil"/>
              <w:right w:val="nil"/>
            </w:tcBorders>
            <w:shd w:val="clear" w:color="000000" w:fill="FFFFFF"/>
            <w:vAlign w:val="center"/>
            <w:hideMark/>
          </w:tcPr>
          <w:p w14:paraId="001639EC"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P001:</w:t>
            </w:r>
            <w:r w:rsidRPr="009414BB">
              <w:rPr>
                <w:rFonts w:ascii="Montserrat" w:eastAsia="Times New Roman" w:hAnsi="Montserrat" w:cs="Calibri"/>
                <w:color w:val="000000"/>
                <w:sz w:val="18"/>
                <w:szCs w:val="18"/>
                <w:lang w:val="es-MX" w:eastAsia="es-MX"/>
              </w:rPr>
              <w:t xml:space="preserve"> Diseño y evaluación de políticas en ciencia, tecnología e innovación</w:t>
            </w:r>
          </w:p>
        </w:tc>
        <w:tc>
          <w:tcPr>
            <w:tcW w:w="2051" w:type="dxa"/>
            <w:tcBorders>
              <w:top w:val="nil"/>
              <w:left w:val="nil"/>
              <w:bottom w:val="nil"/>
              <w:right w:val="nil"/>
            </w:tcBorders>
            <w:shd w:val="clear" w:color="000000" w:fill="FFFFFF"/>
            <w:noWrap/>
            <w:vAlign w:val="center"/>
            <w:hideMark/>
          </w:tcPr>
          <w:p w14:paraId="6FB8C89B"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918" w:type="dxa"/>
            <w:tcBorders>
              <w:top w:val="nil"/>
              <w:left w:val="nil"/>
              <w:bottom w:val="nil"/>
              <w:right w:val="nil"/>
            </w:tcBorders>
            <w:shd w:val="clear" w:color="000000" w:fill="FFFFFF"/>
            <w:noWrap/>
            <w:vAlign w:val="center"/>
            <w:hideMark/>
          </w:tcPr>
          <w:p w14:paraId="1EF4D328"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w:t>
            </w:r>
          </w:p>
        </w:tc>
        <w:tc>
          <w:tcPr>
            <w:tcW w:w="1701" w:type="dxa"/>
            <w:tcBorders>
              <w:top w:val="nil"/>
              <w:left w:val="nil"/>
              <w:bottom w:val="nil"/>
              <w:right w:val="nil"/>
            </w:tcBorders>
            <w:shd w:val="clear" w:color="000000" w:fill="FFFFFF"/>
            <w:noWrap/>
            <w:vAlign w:val="center"/>
            <w:hideMark/>
          </w:tcPr>
          <w:p w14:paraId="31555590"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041" w:type="dxa"/>
            <w:tcBorders>
              <w:top w:val="nil"/>
              <w:left w:val="nil"/>
              <w:bottom w:val="nil"/>
              <w:right w:val="nil"/>
            </w:tcBorders>
            <w:shd w:val="clear" w:color="000000" w:fill="FFFFFF"/>
            <w:noWrap/>
            <w:vAlign w:val="center"/>
            <w:hideMark/>
          </w:tcPr>
          <w:p w14:paraId="31C0395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w:t>
            </w:r>
          </w:p>
        </w:tc>
      </w:tr>
      <w:tr w:rsidR="009414BB" w:rsidRPr="009414BB" w14:paraId="46D223FB" w14:textId="77777777" w:rsidTr="009414BB">
        <w:trPr>
          <w:trHeight w:val="540"/>
        </w:trPr>
        <w:tc>
          <w:tcPr>
            <w:tcW w:w="3261" w:type="dxa"/>
            <w:tcBorders>
              <w:top w:val="nil"/>
              <w:left w:val="nil"/>
              <w:bottom w:val="nil"/>
              <w:right w:val="nil"/>
            </w:tcBorders>
            <w:shd w:val="clear" w:color="000000" w:fill="FFFFFF"/>
            <w:vAlign w:val="center"/>
            <w:hideMark/>
          </w:tcPr>
          <w:p w14:paraId="57511F50"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S190</w:t>
            </w:r>
            <w:r w:rsidRPr="009414BB">
              <w:rPr>
                <w:rFonts w:ascii="Montserrat" w:eastAsia="Times New Roman" w:hAnsi="Montserrat" w:cs="Calibri"/>
                <w:color w:val="000000"/>
                <w:sz w:val="18"/>
                <w:szCs w:val="18"/>
                <w:lang w:val="es-MX" w:eastAsia="es-MX"/>
              </w:rPr>
              <w:t>: Becas de posgrado y otras modalidades de apoyo a la calidad</w:t>
            </w:r>
          </w:p>
        </w:tc>
        <w:tc>
          <w:tcPr>
            <w:tcW w:w="2051" w:type="dxa"/>
            <w:tcBorders>
              <w:top w:val="nil"/>
              <w:left w:val="nil"/>
              <w:bottom w:val="nil"/>
              <w:right w:val="nil"/>
            </w:tcBorders>
            <w:shd w:val="clear" w:color="000000" w:fill="FFFFFF"/>
            <w:noWrap/>
            <w:vAlign w:val="center"/>
            <w:hideMark/>
          </w:tcPr>
          <w:p w14:paraId="5E2B145B"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918" w:type="dxa"/>
            <w:tcBorders>
              <w:top w:val="nil"/>
              <w:left w:val="nil"/>
              <w:bottom w:val="nil"/>
              <w:right w:val="nil"/>
            </w:tcBorders>
            <w:shd w:val="clear" w:color="000000" w:fill="FFFFFF"/>
            <w:noWrap/>
            <w:vAlign w:val="center"/>
            <w:hideMark/>
          </w:tcPr>
          <w:p w14:paraId="35B8CE2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9</w:t>
            </w:r>
          </w:p>
        </w:tc>
        <w:tc>
          <w:tcPr>
            <w:tcW w:w="1701" w:type="dxa"/>
            <w:tcBorders>
              <w:top w:val="nil"/>
              <w:left w:val="nil"/>
              <w:bottom w:val="nil"/>
              <w:right w:val="nil"/>
            </w:tcBorders>
            <w:shd w:val="clear" w:color="000000" w:fill="FFFFFF"/>
            <w:noWrap/>
            <w:vAlign w:val="center"/>
            <w:hideMark/>
          </w:tcPr>
          <w:p w14:paraId="0DC9D257"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041" w:type="dxa"/>
            <w:tcBorders>
              <w:top w:val="nil"/>
              <w:left w:val="nil"/>
              <w:bottom w:val="nil"/>
              <w:right w:val="nil"/>
            </w:tcBorders>
            <w:shd w:val="clear" w:color="000000" w:fill="FFFFFF"/>
            <w:noWrap/>
            <w:vAlign w:val="center"/>
            <w:hideMark/>
          </w:tcPr>
          <w:p w14:paraId="1297061C"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9</w:t>
            </w:r>
          </w:p>
        </w:tc>
      </w:tr>
      <w:tr w:rsidR="009414BB" w:rsidRPr="009414BB" w14:paraId="13377522" w14:textId="77777777" w:rsidTr="009414BB">
        <w:trPr>
          <w:trHeight w:val="300"/>
        </w:trPr>
        <w:tc>
          <w:tcPr>
            <w:tcW w:w="3261" w:type="dxa"/>
            <w:tcBorders>
              <w:top w:val="nil"/>
              <w:left w:val="nil"/>
              <w:bottom w:val="nil"/>
              <w:right w:val="nil"/>
            </w:tcBorders>
            <w:shd w:val="clear" w:color="000000" w:fill="FFFFFF"/>
            <w:vAlign w:val="center"/>
            <w:hideMark/>
          </w:tcPr>
          <w:p w14:paraId="06BB3CCA"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S191</w:t>
            </w:r>
            <w:r w:rsidRPr="009414BB">
              <w:rPr>
                <w:rFonts w:ascii="Montserrat" w:eastAsia="Times New Roman" w:hAnsi="Montserrat" w:cs="Calibri"/>
                <w:color w:val="000000"/>
                <w:sz w:val="18"/>
                <w:szCs w:val="18"/>
                <w:lang w:val="es-MX" w:eastAsia="es-MX"/>
              </w:rPr>
              <w:t>: Sistema Nacional de Investigadores</w:t>
            </w:r>
          </w:p>
        </w:tc>
        <w:tc>
          <w:tcPr>
            <w:tcW w:w="2051" w:type="dxa"/>
            <w:tcBorders>
              <w:top w:val="nil"/>
              <w:left w:val="nil"/>
              <w:bottom w:val="nil"/>
              <w:right w:val="nil"/>
            </w:tcBorders>
            <w:shd w:val="clear" w:color="000000" w:fill="FFFFFF"/>
            <w:noWrap/>
            <w:vAlign w:val="center"/>
            <w:hideMark/>
          </w:tcPr>
          <w:p w14:paraId="5817B460"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3</w:t>
            </w:r>
          </w:p>
        </w:tc>
        <w:tc>
          <w:tcPr>
            <w:tcW w:w="1918" w:type="dxa"/>
            <w:tcBorders>
              <w:top w:val="nil"/>
              <w:left w:val="nil"/>
              <w:bottom w:val="nil"/>
              <w:right w:val="nil"/>
            </w:tcBorders>
            <w:shd w:val="clear" w:color="000000" w:fill="FFFFFF"/>
            <w:noWrap/>
            <w:vAlign w:val="center"/>
            <w:hideMark/>
          </w:tcPr>
          <w:p w14:paraId="206F9A0C"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12</w:t>
            </w:r>
          </w:p>
        </w:tc>
        <w:tc>
          <w:tcPr>
            <w:tcW w:w="1701" w:type="dxa"/>
            <w:tcBorders>
              <w:top w:val="nil"/>
              <w:left w:val="nil"/>
              <w:bottom w:val="nil"/>
              <w:right w:val="nil"/>
            </w:tcBorders>
            <w:shd w:val="clear" w:color="000000" w:fill="FFFFFF"/>
            <w:noWrap/>
            <w:vAlign w:val="center"/>
            <w:hideMark/>
          </w:tcPr>
          <w:p w14:paraId="747589A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1041" w:type="dxa"/>
            <w:tcBorders>
              <w:top w:val="nil"/>
              <w:left w:val="nil"/>
              <w:bottom w:val="nil"/>
              <w:right w:val="nil"/>
            </w:tcBorders>
            <w:shd w:val="clear" w:color="000000" w:fill="FFFFFF"/>
            <w:noWrap/>
            <w:vAlign w:val="center"/>
            <w:hideMark/>
          </w:tcPr>
          <w:p w14:paraId="5C2F074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15</w:t>
            </w:r>
          </w:p>
        </w:tc>
      </w:tr>
      <w:tr w:rsidR="009414BB" w:rsidRPr="009414BB" w14:paraId="04BF5FB9" w14:textId="77777777" w:rsidTr="009414BB">
        <w:trPr>
          <w:trHeight w:val="315"/>
        </w:trPr>
        <w:tc>
          <w:tcPr>
            <w:tcW w:w="3261" w:type="dxa"/>
            <w:tcBorders>
              <w:top w:val="single" w:sz="4" w:space="0" w:color="1F5045"/>
              <w:left w:val="nil"/>
              <w:bottom w:val="single" w:sz="4" w:space="0" w:color="1F5045"/>
              <w:right w:val="nil"/>
            </w:tcBorders>
            <w:shd w:val="clear" w:color="000000" w:fill="FFFFFF"/>
            <w:noWrap/>
            <w:vAlign w:val="bottom"/>
            <w:hideMark/>
          </w:tcPr>
          <w:p w14:paraId="51954542" w14:textId="77777777" w:rsidR="009414BB" w:rsidRPr="009414BB" w:rsidRDefault="009414BB" w:rsidP="009414BB">
            <w:pP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Total</w:t>
            </w:r>
          </w:p>
        </w:tc>
        <w:tc>
          <w:tcPr>
            <w:tcW w:w="2051" w:type="dxa"/>
            <w:tcBorders>
              <w:top w:val="single" w:sz="4" w:space="0" w:color="1F5045"/>
              <w:left w:val="nil"/>
              <w:bottom w:val="single" w:sz="4" w:space="0" w:color="1F5045"/>
              <w:right w:val="nil"/>
            </w:tcBorders>
            <w:shd w:val="clear" w:color="000000" w:fill="FFFFFF"/>
            <w:noWrap/>
            <w:vAlign w:val="bottom"/>
            <w:hideMark/>
          </w:tcPr>
          <w:p w14:paraId="668EDFBF"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5</w:t>
            </w:r>
          </w:p>
        </w:tc>
        <w:tc>
          <w:tcPr>
            <w:tcW w:w="1918" w:type="dxa"/>
            <w:tcBorders>
              <w:top w:val="single" w:sz="4" w:space="0" w:color="1F5045"/>
              <w:left w:val="nil"/>
              <w:bottom w:val="single" w:sz="4" w:space="0" w:color="1F5045"/>
              <w:right w:val="nil"/>
            </w:tcBorders>
            <w:shd w:val="clear" w:color="000000" w:fill="FFFFFF"/>
            <w:noWrap/>
            <w:vAlign w:val="bottom"/>
            <w:hideMark/>
          </w:tcPr>
          <w:p w14:paraId="122A9C60"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54</w:t>
            </w:r>
          </w:p>
        </w:tc>
        <w:tc>
          <w:tcPr>
            <w:tcW w:w="1701" w:type="dxa"/>
            <w:tcBorders>
              <w:top w:val="single" w:sz="4" w:space="0" w:color="1F5045"/>
              <w:left w:val="nil"/>
              <w:bottom w:val="single" w:sz="4" w:space="0" w:color="1F5045"/>
              <w:right w:val="nil"/>
            </w:tcBorders>
            <w:shd w:val="clear" w:color="000000" w:fill="FFFFFF"/>
            <w:noWrap/>
            <w:vAlign w:val="bottom"/>
            <w:hideMark/>
          </w:tcPr>
          <w:p w14:paraId="07BDB744"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4</w:t>
            </w:r>
          </w:p>
        </w:tc>
        <w:tc>
          <w:tcPr>
            <w:tcW w:w="1041" w:type="dxa"/>
            <w:tcBorders>
              <w:top w:val="single" w:sz="4" w:space="0" w:color="1F5045"/>
              <w:left w:val="nil"/>
              <w:bottom w:val="single" w:sz="4" w:space="0" w:color="1F5045"/>
              <w:right w:val="nil"/>
            </w:tcBorders>
            <w:shd w:val="clear" w:color="000000" w:fill="FFFFFF"/>
            <w:noWrap/>
            <w:vAlign w:val="bottom"/>
            <w:hideMark/>
          </w:tcPr>
          <w:p w14:paraId="142C5B83"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63</w:t>
            </w:r>
          </w:p>
        </w:tc>
      </w:tr>
    </w:tbl>
    <w:p w14:paraId="21CA38CE" w14:textId="77777777" w:rsidR="003624F7" w:rsidRPr="008A3990" w:rsidRDefault="003624F7" w:rsidP="003624F7">
      <w:pPr>
        <w:rPr>
          <w:rFonts w:ascii="Montserrat" w:hAnsi="Montserrat"/>
          <w:sz w:val="22"/>
          <w:szCs w:val="22"/>
        </w:rPr>
      </w:pPr>
    </w:p>
    <w:tbl>
      <w:tblPr>
        <w:tblW w:w="0" w:type="auto"/>
        <w:tblCellMar>
          <w:left w:w="70" w:type="dxa"/>
          <w:right w:w="70" w:type="dxa"/>
        </w:tblCellMar>
        <w:tblLook w:val="04A0" w:firstRow="1" w:lastRow="0" w:firstColumn="1" w:lastColumn="0" w:noHBand="0" w:noVBand="1"/>
      </w:tblPr>
      <w:tblGrid>
        <w:gridCol w:w="3527"/>
        <w:gridCol w:w="1902"/>
        <w:gridCol w:w="1853"/>
        <w:gridCol w:w="1785"/>
        <w:gridCol w:w="905"/>
      </w:tblGrid>
      <w:tr w:rsidR="009414BB" w:rsidRPr="009414BB" w14:paraId="07018942" w14:textId="77777777" w:rsidTr="009414BB">
        <w:trPr>
          <w:trHeight w:val="300"/>
        </w:trPr>
        <w:tc>
          <w:tcPr>
            <w:tcW w:w="0" w:type="auto"/>
            <w:gridSpan w:val="5"/>
            <w:tcBorders>
              <w:top w:val="nil"/>
              <w:left w:val="nil"/>
              <w:bottom w:val="nil"/>
              <w:right w:val="nil"/>
            </w:tcBorders>
            <w:shd w:val="clear" w:color="000000" w:fill="FFFFFF"/>
            <w:vAlign w:val="center"/>
            <w:hideMark/>
          </w:tcPr>
          <w:p w14:paraId="0B318D2C"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Cuadro 2: Porcentaje de Cumplimiento de las metas al cuarto trimestre de 2021 de los Indicadores de las MIR del CONACYT</w:t>
            </w:r>
          </w:p>
        </w:tc>
      </w:tr>
      <w:tr w:rsidR="009414BB" w:rsidRPr="009414BB" w14:paraId="3516E1CE" w14:textId="77777777" w:rsidTr="009414BB">
        <w:trPr>
          <w:trHeight w:val="300"/>
        </w:trPr>
        <w:tc>
          <w:tcPr>
            <w:tcW w:w="0" w:type="auto"/>
            <w:tcBorders>
              <w:top w:val="nil"/>
              <w:left w:val="nil"/>
              <w:bottom w:val="nil"/>
              <w:right w:val="nil"/>
            </w:tcBorders>
            <w:shd w:val="clear" w:color="000000" w:fill="FFFFFF"/>
            <w:vAlign w:val="center"/>
            <w:hideMark/>
          </w:tcPr>
          <w:p w14:paraId="60FB6C43"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0" w:type="auto"/>
            <w:tcBorders>
              <w:top w:val="nil"/>
              <w:left w:val="nil"/>
              <w:bottom w:val="nil"/>
              <w:right w:val="nil"/>
            </w:tcBorders>
            <w:shd w:val="clear" w:color="000000" w:fill="FFFFFF"/>
            <w:vAlign w:val="center"/>
            <w:hideMark/>
          </w:tcPr>
          <w:p w14:paraId="28752487"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0" w:type="auto"/>
            <w:tcBorders>
              <w:top w:val="nil"/>
              <w:left w:val="nil"/>
              <w:bottom w:val="nil"/>
              <w:right w:val="nil"/>
            </w:tcBorders>
            <w:shd w:val="clear" w:color="000000" w:fill="FFFFFF"/>
            <w:vAlign w:val="center"/>
            <w:hideMark/>
          </w:tcPr>
          <w:p w14:paraId="31070EE2"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0" w:type="auto"/>
            <w:tcBorders>
              <w:top w:val="nil"/>
              <w:left w:val="nil"/>
              <w:bottom w:val="nil"/>
              <w:right w:val="nil"/>
            </w:tcBorders>
            <w:shd w:val="clear" w:color="000000" w:fill="FFFFFF"/>
            <w:vAlign w:val="center"/>
            <w:hideMark/>
          </w:tcPr>
          <w:p w14:paraId="76D2C4A5"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c>
          <w:tcPr>
            <w:tcW w:w="0" w:type="auto"/>
            <w:tcBorders>
              <w:top w:val="nil"/>
              <w:left w:val="nil"/>
              <w:bottom w:val="nil"/>
              <w:right w:val="nil"/>
            </w:tcBorders>
            <w:shd w:val="clear" w:color="000000" w:fill="FFFFFF"/>
            <w:vAlign w:val="center"/>
            <w:hideMark/>
          </w:tcPr>
          <w:p w14:paraId="0ECEF843" w14:textId="77777777" w:rsidR="009414BB" w:rsidRPr="009414BB" w:rsidRDefault="009414BB" w:rsidP="009414BB">
            <w:pPr>
              <w:jc w:val="center"/>
              <w:rPr>
                <w:rFonts w:ascii="Montserrat" w:eastAsia="Times New Roman" w:hAnsi="Montserrat" w:cs="Calibri"/>
                <w:b/>
                <w:bCs/>
                <w:color w:val="000000"/>
                <w:sz w:val="20"/>
                <w:szCs w:val="20"/>
                <w:lang w:val="es-MX" w:eastAsia="es-MX"/>
              </w:rPr>
            </w:pPr>
            <w:r w:rsidRPr="009414BB">
              <w:rPr>
                <w:rFonts w:ascii="Montserrat" w:eastAsia="Times New Roman" w:hAnsi="Montserrat" w:cs="Calibri"/>
                <w:b/>
                <w:bCs/>
                <w:color w:val="000000"/>
                <w:sz w:val="20"/>
                <w:szCs w:val="20"/>
                <w:lang w:val="es-MX" w:eastAsia="es-MX"/>
              </w:rPr>
              <w:t> </w:t>
            </w:r>
          </w:p>
        </w:tc>
      </w:tr>
      <w:tr w:rsidR="009414BB" w:rsidRPr="009414BB" w14:paraId="0726905F" w14:textId="77777777" w:rsidTr="009414BB">
        <w:trPr>
          <w:trHeight w:val="300"/>
        </w:trPr>
        <w:tc>
          <w:tcPr>
            <w:tcW w:w="0" w:type="auto"/>
            <w:vMerge w:val="restart"/>
            <w:tcBorders>
              <w:top w:val="single" w:sz="4" w:space="0" w:color="1F5045"/>
              <w:left w:val="single" w:sz="4" w:space="0" w:color="1F5045"/>
              <w:bottom w:val="single" w:sz="4" w:space="0" w:color="1F5045"/>
              <w:right w:val="single" w:sz="4" w:space="0" w:color="1F5045"/>
            </w:tcBorders>
            <w:shd w:val="clear" w:color="000000" w:fill="318270"/>
            <w:vAlign w:val="center"/>
            <w:hideMark/>
          </w:tcPr>
          <w:p w14:paraId="49E16FE8"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Programa presupuestario (Modalidad y nombre)</w:t>
            </w:r>
          </w:p>
        </w:tc>
        <w:tc>
          <w:tcPr>
            <w:tcW w:w="0" w:type="auto"/>
            <w:gridSpan w:val="3"/>
            <w:tcBorders>
              <w:top w:val="single" w:sz="4" w:space="0" w:color="1F5045"/>
              <w:left w:val="nil"/>
              <w:bottom w:val="single" w:sz="4" w:space="0" w:color="1F5045"/>
              <w:right w:val="single" w:sz="4" w:space="0" w:color="1F5045"/>
            </w:tcBorders>
            <w:shd w:val="clear" w:color="000000" w:fill="318270"/>
            <w:noWrap/>
            <w:vAlign w:val="center"/>
            <w:hideMark/>
          </w:tcPr>
          <w:p w14:paraId="688EE97A" w14:textId="31F13F93"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 xml:space="preserve">Indicadores por % </w:t>
            </w:r>
            <w:r w:rsidRPr="009414BB">
              <w:rPr>
                <w:rFonts w:ascii="Montserrat" w:eastAsia="Times New Roman" w:hAnsi="Montserrat" w:cs="Calibri"/>
                <w:b/>
                <w:bCs/>
                <w:color w:val="FFFFFF"/>
                <w:sz w:val="18"/>
                <w:szCs w:val="18"/>
                <w:lang w:val="es-MX" w:eastAsia="es-MX"/>
              </w:rPr>
              <w:t>de cumplimiento</w:t>
            </w:r>
            <w:r w:rsidRPr="009414BB">
              <w:rPr>
                <w:rFonts w:ascii="Montserrat" w:eastAsia="Times New Roman" w:hAnsi="Montserrat" w:cs="Calibri"/>
                <w:b/>
                <w:bCs/>
                <w:color w:val="FFFFFF"/>
                <w:sz w:val="18"/>
                <w:szCs w:val="18"/>
                <w:lang w:val="es-MX" w:eastAsia="es-MX"/>
              </w:rPr>
              <w:t xml:space="preserve"> de la meta</w:t>
            </w:r>
          </w:p>
        </w:tc>
        <w:tc>
          <w:tcPr>
            <w:tcW w:w="0" w:type="auto"/>
            <w:vMerge w:val="restart"/>
            <w:tcBorders>
              <w:top w:val="single" w:sz="4" w:space="0" w:color="1F5045"/>
              <w:left w:val="single" w:sz="4" w:space="0" w:color="1F5045"/>
              <w:bottom w:val="single" w:sz="4" w:space="0" w:color="1F5045"/>
              <w:right w:val="single" w:sz="4" w:space="0" w:color="1F5045"/>
            </w:tcBorders>
            <w:shd w:val="clear" w:color="000000" w:fill="318270"/>
            <w:noWrap/>
            <w:vAlign w:val="center"/>
            <w:hideMark/>
          </w:tcPr>
          <w:p w14:paraId="4D9FD120"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Total</w:t>
            </w:r>
          </w:p>
        </w:tc>
      </w:tr>
      <w:tr w:rsidR="009414BB" w:rsidRPr="009414BB" w14:paraId="1CB8BBA3" w14:textId="77777777" w:rsidTr="009414BB">
        <w:trPr>
          <w:trHeight w:val="540"/>
        </w:trPr>
        <w:tc>
          <w:tcPr>
            <w:tcW w:w="0" w:type="auto"/>
            <w:vMerge/>
            <w:tcBorders>
              <w:top w:val="single" w:sz="4" w:space="0" w:color="1F5045"/>
              <w:left w:val="single" w:sz="4" w:space="0" w:color="1F5045"/>
              <w:bottom w:val="single" w:sz="4" w:space="0" w:color="1F5045"/>
              <w:right w:val="single" w:sz="4" w:space="0" w:color="1F5045"/>
            </w:tcBorders>
            <w:vAlign w:val="center"/>
            <w:hideMark/>
          </w:tcPr>
          <w:p w14:paraId="6D7D3485" w14:textId="77777777" w:rsidR="009414BB" w:rsidRPr="009414BB" w:rsidRDefault="009414BB" w:rsidP="009414BB">
            <w:pPr>
              <w:rPr>
                <w:rFonts w:ascii="Montserrat" w:eastAsia="Times New Roman" w:hAnsi="Montserrat" w:cs="Calibri"/>
                <w:b/>
                <w:bCs/>
                <w:color w:val="FFFFFF"/>
                <w:sz w:val="18"/>
                <w:szCs w:val="18"/>
                <w:lang w:val="es-MX" w:eastAsia="es-MX"/>
              </w:rPr>
            </w:pPr>
          </w:p>
        </w:tc>
        <w:tc>
          <w:tcPr>
            <w:tcW w:w="0" w:type="auto"/>
            <w:tcBorders>
              <w:top w:val="nil"/>
              <w:left w:val="nil"/>
              <w:bottom w:val="single" w:sz="4" w:space="0" w:color="1F5045"/>
              <w:right w:val="single" w:sz="4" w:space="0" w:color="1F5045"/>
            </w:tcBorders>
            <w:shd w:val="clear" w:color="000000" w:fill="318270"/>
            <w:vAlign w:val="center"/>
            <w:hideMark/>
          </w:tcPr>
          <w:p w14:paraId="7754D25E"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 Indicadores menores al 80%</w:t>
            </w:r>
          </w:p>
        </w:tc>
        <w:tc>
          <w:tcPr>
            <w:tcW w:w="0" w:type="auto"/>
            <w:tcBorders>
              <w:top w:val="nil"/>
              <w:left w:val="nil"/>
              <w:bottom w:val="single" w:sz="4" w:space="0" w:color="1F5045"/>
              <w:right w:val="single" w:sz="4" w:space="0" w:color="1F5045"/>
            </w:tcBorders>
            <w:shd w:val="clear" w:color="000000" w:fill="318270"/>
            <w:vAlign w:val="center"/>
            <w:hideMark/>
          </w:tcPr>
          <w:p w14:paraId="0C174A53"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 Indicadores entre 80% y 115%</w:t>
            </w:r>
          </w:p>
        </w:tc>
        <w:tc>
          <w:tcPr>
            <w:tcW w:w="0" w:type="auto"/>
            <w:tcBorders>
              <w:top w:val="nil"/>
              <w:left w:val="nil"/>
              <w:bottom w:val="single" w:sz="4" w:space="0" w:color="1F5045"/>
              <w:right w:val="single" w:sz="4" w:space="0" w:color="1F5045"/>
            </w:tcBorders>
            <w:shd w:val="clear" w:color="000000" w:fill="318270"/>
            <w:vAlign w:val="center"/>
            <w:hideMark/>
          </w:tcPr>
          <w:p w14:paraId="748B1476" w14:textId="77777777" w:rsidR="009414BB" w:rsidRPr="009414BB" w:rsidRDefault="009414BB" w:rsidP="009414BB">
            <w:pPr>
              <w:jc w:val="center"/>
              <w:rPr>
                <w:rFonts w:ascii="Montserrat" w:eastAsia="Times New Roman" w:hAnsi="Montserrat" w:cs="Calibri"/>
                <w:b/>
                <w:bCs/>
                <w:color w:val="FFFFFF"/>
                <w:sz w:val="18"/>
                <w:szCs w:val="18"/>
                <w:lang w:val="es-MX" w:eastAsia="es-MX"/>
              </w:rPr>
            </w:pPr>
            <w:r w:rsidRPr="009414BB">
              <w:rPr>
                <w:rFonts w:ascii="Montserrat" w:eastAsia="Times New Roman" w:hAnsi="Montserrat" w:cs="Calibri"/>
                <w:b/>
                <w:bCs/>
                <w:color w:val="FFFFFF"/>
                <w:sz w:val="18"/>
                <w:szCs w:val="18"/>
                <w:lang w:val="es-MX" w:eastAsia="es-MX"/>
              </w:rPr>
              <w:t>% Indicadores mayores al 115%</w:t>
            </w:r>
          </w:p>
        </w:tc>
        <w:tc>
          <w:tcPr>
            <w:tcW w:w="0" w:type="auto"/>
            <w:vMerge/>
            <w:tcBorders>
              <w:top w:val="single" w:sz="4" w:space="0" w:color="1F5045"/>
              <w:left w:val="single" w:sz="4" w:space="0" w:color="1F5045"/>
              <w:bottom w:val="single" w:sz="4" w:space="0" w:color="1F5045"/>
              <w:right w:val="single" w:sz="4" w:space="0" w:color="1F5045"/>
            </w:tcBorders>
            <w:vAlign w:val="center"/>
            <w:hideMark/>
          </w:tcPr>
          <w:p w14:paraId="169CE98E" w14:textId="77777777" w:rsidR="009414BB" w:rsidRPr="009414BB" w:rsidRDefault="009414BB" w:rsidP="009414BB">
            <w:pPr>
              <w:rPr>
                <w:rFonts w:ascii="Montserrat" w:eastAsia="Times New Roman" w:hAnsi="Montserrat" w:cs="Calibri"/>
                <w:b/>
                <w:bCs/>
                <w:color w:val="FFFFFF"/>
                <w:sz w:val="18"/>
                <w:szCs w:val="18"/>
                <w:lang w:val="es-MX" w:eastAsia="es-MX"/>
              </w:rPr>
            </w:pPr>
          </w:p>
        </w:tc>
      </w:tr>
      <w:tr w:rsidR="009414BB" w:rsidRPr="009414BB" w14:paraId="439E9CBE" w14:textId="77777777" w:rsidTr="009414BB">
        <w:trPr>
          <w:trHeight w:val="540"/>
        </w:trPr>
        <w:tc>
          <w:tcPr>
            <w:tcW w:w="0" w:type="auto"/>
            <w:tcBorders>
              <w:top w:val="nil"/>
              <w:left w:val="nil"/>
              <w:bottom w:val="nil"/>
              <w:right w:val="nil"/>
            </w:tcBorders>
            <w:shd w:val="clear" w:color="000000" w:fill="FFFFFF"/>
            <w:vAlign w:val="center"/>
            <w:hideMark/>
          </w:tcPr>
          <w:p w14:paraId="760327E4" w14:textId="77777777" w:rsidR="009414BB" w:rsidRPr="009414BB" w:rsidRDefault="009414BB" w:rsidP="009414BB">
            <w:pP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 xml:space="preserve">E003: </w:t>
            </w:r>
            <w:r w:rsidRPr="009414BB">
              <w:rPr>
                <w:rFonts w:ascii="Montserrat" w:eastAsia="Times New Roman" w:hAnsi="Montserrat" w:cs="Calibri"/>
                <w:color w:val="000000"/>
                <w:sz w:val="18"/>
                <w:szCs w:val="18"/>
                <w:lang w:val="es-MX" w:eastAsia="es-MX"/>
              </w:rPr>
              <w:t>Investigación científica, desarrollo e innovación</w:t>
            </w:r>
          </w:p>
        </w:tc>
        <w:tc>
          <w:tcPr>
            <w:tcW w:w="0" w:type="auto"/>
            <w:tcBorders>
              <w:top w:val="nil"/>
              <w:left w:val="nil"/>
              <w:bottom w:val="nil"/>
              <w:right w:val="nil"/>
            </w:tcBorders>
            <w:shd w:val="clear" w:color="000000" w:fill="FFFFFF"/>
            <w:noWrap/>
            <w:vAlign w:val="center"/>
            <w:hideMark/>
          </w:tcPr>
          <w:p w14:paraId="721E4133"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15.38%</w:t>
            </w:r>
          </w:p>
        </w:tc>
        <w:tc>
          <w:tcPr>
            <w:tcW w:w="0" w:type="auto"/>
            <w:tcBorders>
              <w:top w:val="nil"/>
              <w:left w:val="nil"/>
              <w:bottom w:val="nil"/>
              <w:right w:val="nil"/>
            </w:tcBorders>
            <w:shd w:val="clear" w:color="000000" w:fill="FFFFFF"/>
            <w:noWrap/>
            <w:vAlign w:val="center"/>
            <w:hideMark/>
          </w:tcPr>
          <w:p w14:paraId="0DB8269C"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53.85%</w:t>
            </w:r>
          </w:p>
        </w:tc>
        <w:tc>
          <w:tcPr>
            <w:tcW w:w="0" w:type="auto"/>
            <w:tcBorders>
              <w:top w:val="nil"/>
              <w:left w:val="nil"/>
              <w:bottom w:val="nil"/>
              <w:right w:val="nil"/>
            </w:tcBorders>
            <w:shd w:val="clear" w:color="000000" w:fill="FFFFFF"/>
            <w:noWrap/>
            <w:vAlign w:val="center"/>
            <w:hideMark/>
          </w:tcPr>
          <w:p w14:paraId="6CADE37E"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30.77%</w:t>
            </w:r>
          </w:p>
        </w:tc>
        <w:tc>
          <w:tcPr>
            <w:tcW w:w="0" w:type="auto"/>
            <w:tcBorders>
              <w:top w:val="nil"/>
              <w:left w:val="nil"/>
              <w:bottom w:val="nil"/>
              <w:right w:val="nil"/>
            </w:tcBorders>
            <w:shd w:val="clear" w:color="000000" w:fill="FFFFFF"/>
            <w:noWrap/>
            <w:vAlign w:val="center"/>
            <w:hideMark/>
          </w:tcPr>
          <w:p w14:paraId="65FD5B26"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6DF436D5" w14:textId="77777777" w:rsidTr="009414BB">
        <w:trPr>
          <w:trHeight w:val="810"/>
        </w:trPr>
        <w:tc>
          <w:tcPr>
            <w:tcW w:w="0" w:type="auto"/>
            <w:tcBorders>
              <w:top w:val="nil"/>
              <w:left w:val="nil"/>
              <w:bottom w:val="nil"/>
              <w:right w:val="nil"/>
            </w:tcBorders>
            <w:shd w:val="clear" w:color="000000" w:fill="FFFFFF"/>
            <w:vAlign w:val="center"/>
            <w:hideMark/>
          </w:tcPr>
          <w:p w14:paraId="36EFF9FE"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F003</w:t>
            </w:r>
            <w:r w:rsidRPr="009414BB">
              <w:rPr>
                <w:rFonts w:ascii="Montserrat" w:eastAsia="Times New Roman" w:hAnsi="Montserrat" w:cs="Calibri"/>
                <w:color w:val="000000"/>
                <w:sz w:val="18"/>
                <w:szCs w:val="18"/>
                <w:lang w:val="es-MX" w:eastAsia="es-MX"/>
              </w:rPr>
              <w:t>: Programas nacionales estratégicos de ciencia, tecnología y vinculación con el sector social, público y privado.</w:t>
            </w:r>
          </w:p>
        </w:tc>
        <w:tc>
          <w:tcPr>
            <w:tcW w:w="0" w:type="auto"/>
            <w:tcBorders>
              <w:top w:val="nil"/>
              <w:left w:val="nil"/>
              <w:bottom w:val="nil"/>
              <w:right w:val="nil"/>
            </w:tcBorders>
            <w:shd w:val="clear" w:color="000000" w:fill="FFFFFF"/>
            <w:noWrap/>
            <w:vAlign w:val="center"/>
            <w:hideMark/>
          </w:tcPr>
          <w:p w14:paraId="2F565E5D"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1F6EEE81"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c>
          <w:tcPr>
            <w:tcW w:w="0" w:type="auto"/>
            <w:tcBorders>
              <w:top w:val="nil"/>
              <w:left w:val="nil"/>
              <w:bottom w:val="nil"/>
              <w:right w:val="nil"/>
            </w:tcBorders>
            <w:shd w:val="clear" w:color="000000" w:fill="FFFFFF"/>
            <w:noWrap/>
            <w:vAlign w:val="center"/>
            <w:hideMark/>
          </w:tcPr>
          <w:p w14:paraId="7DC080BC"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5D179D23"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72FA89B7" w14:textId="77777777" w:rsidTr="009414BB">
        <w:trPr>
          <w:trHeight w:val="540"/>
        </w:trPr>
        <w:tc>
          <w:tcPr>
            <w:tcW w:w="0" w:type="auto"/>
            <w:tcBorders>
              <w:top w:val="nil"/>
              <w:left w:val="nil"/>
              <w:bottom w:val="nil"/>
              <w:right w:val="nil"/>
            </w:tcBorders>
            <w:shd w:val="clear" w:color="000000" w:fill="FFFFFF"/>
            <w:vAlign w:val="center"/>
            <w:hideMark/>
          </w:tcPr>
          <w:p w14:paraId="4CE87187"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K010:</w:t>
            </w:r>
            <w:r w:rsidRPr="009414BB">
              <w:rPr>
                <w:rFonts w:ascii="Montserrat" w:eastAsia="Times New Roman" w:hAnsi="Montserrat" w:cs="Calibri"/>
                <w:color w:val="000000"/>
                <w:sz w:val="18"/>
                <w:szCs w:val="18"/>
                <w:lang w:val="es-MX" w:eastAsia="es-MX"/>
              </w:rPr>
              <w:t xml:space="preserve"> Proyectos de infraestructura social de ciencia y tecnología</w:t>
            </w:r>
          </w:p>
        </w:tc>
        <w:tc>
          <w:tcPr>
            <w:tcW w:w="0" w:type="auto"/>
            <w:tcBorders>
              <w:top w:val="nil"/>
              <w:left w:val="nil"/>
              <w:bottom w:val="nil"/>
              <w:right w:val="nil"/>
            </w:tcBorders>
            <w:shd w:val="clear" w:color="000000" w:fill="FFFFFF"/>
            <w:noWrap/>
            <w:vAlign w:val="center"/>
            <w:hideMark/>
          </w:tcPr>
          <w:p w14:paraId="0C583478"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2EE18CB4"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c>
          <w:tcPr>
            <w:tcW w:w="0" w:type="auto"/>
            <w:tcBorders>
              <w:top w:val="nil"/>
              <w:left w:val="nil"/>
              <w:bottom w:val="nil"/>
              <w:right w:val="nil"/>
            </w:tcBorders>
            <w:shd w:val="clear" w:color="000000" w:fill="FFFFFF"/>
            <w:noWrap/>
            <w:vAlign w:val="center"/>
            <w:hideMark/>
          </w:tcPr>
          <w:p w14:paraId="1DDF9635"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2592274D"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48229ECB" w14:textId="77777777" w:rsidTr="009414BB">
        <w:trPr>
          <w:trHeight w:val="540"/>
        </w:trPr>
        <w:tc>
          <w:tcPr>
            <w:tcW w:w="0" w:type="auto"/>
            <w:tcBorders>
              <w:top w:val="nil"/>
              <w:left w:val="nil"/>
              <w:bottom w:val="nil"/>
              <w:right w:val="nil"/>
            </w:tcBorders>
            <w:shd w:val="clear" w:color="000000" w:fill="FFFFFF"/>
            <w:vAlign w:val="center"/>
            <w:hideMark/>
          </w:tcPr>
          <w:p w14:paraId="10821C08"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P001:</w:t>
            </w:r>
            <w:r w:rsidRPr="009414BB">
              <w:rPr>
                <w:rFonts w:ascii="Montserrat" w:eastAsia="Times New Roman" w:hAnsi="Montserrat" w:cs="Calibri"/>
                <w:color w:val="000000"/>
                <w:sz w:val="18"/>
                <w:szCs w:val="18"/>
                <w:lang w:val="es-MX" w:eastAsia="es-MX"/>
              </w:rPr>
              <w:t xml:space="preserve"> Diseño y evaluación de políticas en ciencia, tecnología e innovación</w:t>
            </w:r>
          </w:p>
        </w:tc>
        <w:tc>
          <w:tcPr>
            <w:tcW w:w="0" w:type="auto"/>
            <w:tcBorders>
              <w:top w:val="nil"/>
              <w:left w:val="nil"/>
              <w:bottom w:val="nil"/>
              <w:right w:val="nil"/>
            </w:tcBorders>
            <w:shd w:val="clear" w:color="000000" w:fill="FFFFFF"/>
            <w:noWrap/>
            <w:vAlign w:val="center"/>
            <w:hideMark/>
          </w:tcPr>
          <w:p w14:paraId="6A7A1DC5"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69D4F79D"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c>
          <w:tcPr>
            <w:tcW w:w="0" w:type="auto"/>
            <w:tcBorders>
              <w:top w:val="nil"/>
              <w:left w:val="nil"/>
              <w:bottom w:val="nil"/>
              <w:right w:val="nil"/>
            </w:tcBorders>
            <w:shd w:val="clear" w:color="000000" w:fill="FFFFFF"/>
            <w:noWrap/>
            <w:vAlign w:val="center"/>
            <w:hideMark/>
          </w:tcPr>
          <w:p w14:paraId="2A2C3534"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7D01C655"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641A012B" w14:textId="77777777" w:rsidTr="009414BB">
        <w:trPr>
          <w:trHeight w:val="540"/>
        </w:trPr>
        <w:tc>
          <w:tcPr>
            <w:tcW w:w="0" w:type="auto"/>
            <w:tcBorders>
              <w:top w:val="nil"/>
              <w:left w:val="nil"/>
              <w:bottom w:val="nil"/>
              <w:right w:val="nil"/>
            </w:tcBorders>
            <w:shd w:val="clear" w:color="000000" w:fill="FFFFFF"/>
            <w:vAlign w:val="center"/>
            <w:hideMark/>
          </w:tcPr>
          <w:p w14:paraId="7332AB95"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t>S190</w:t>
            </w:r>
            <w:r w:rsidRPr="009414BB">
              <w:rPr>
                <w:rFonts w:ascii="Montserrat" w:eastAsia="Times New Roman" w:hAnsi="Montserrat" w:cs="Calibri"/>
                <w:color w:val="000000"/>
                <w:sz w:val="18"/>
                <w:szCs w:val="18"/>
                <w:lang w:val="es-MX" w:eastAsia="es-MX"/>
              </w:rPr>
              <w:t>: Becas de posgrado y otras modalidades de apoyo a la calidad</w:t>
            </w:r>
          </w:p>
        </w:tc>
        <w:tc>
          <w:tcPr>
            <w:tcW w:w="0" w:type="auto"/>
            <w:tcBorders>
              <w:top w:val="nil"/>
              <w:left w:val="nil"/>
              <w:bottom w:val="nil"/>
              <w:right w:val="nil"/>
            </w:tcBorders>
            <w:shd w:val="clear" w:color="000000" w:fill="FFFFFF"/>
            <w:noWrap/>
            <w:vAlign w:val="center"/>
            <w:hideMark/>
          </w:tcPr>
          <w:p w14:paraId="79ED6B2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243503CD"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c>
          <w:tcPr>
            <w:tcW w:w="0" w:type="auto"/>
            <w:tcBorders>
              <w:top w:val="nil"/>
              <w:left w:val="nil"/>
              <w:bottom w:val="nil"/>
              <w:right w:val="nil"/>
            </w:tcBorders>
            <w:shd w:val="clear" w:color="000000" w:fill="FFFFFF"/>
            <w:noWrap/>
            <w:vAlign w:val="center"/>
            <w:hideMark/>
          </w:tcPr>
          <w:p w14:paraId="20DF8559"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3A0B71D0"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3030E0C8" w14:textId="77777777" w:rsidTr="009414BB">
        <w:trPr>
          <w:trHeight w:val="300"/>
        </w:trPr>
        <w:tc>
          <w:tcPr>
            <w:tcW w:w="0" w:type="auto"/>
            <w:tcBorders>
              <w:top w:val="nil"/>
              <w:left w:val="nil"/>
              <w:bottom w:val="nil"/>
              <w:right w:val="nil"/>
            </w:tcBorders>
            <w:shd w:val="clear" w:color="000000" w:fill="FFFFFF"/>
            <w:vAlign w:val="center"/>
            <w:hideMark/>
          </w:tcPr>
          <w:p w14:paraId="54ABA8D5" w14:textId="77777777" w:rsidR="009414BB" w:rsidRPr="009414BB" w:rsidRDefault="009414BB" w:rsidP="009414BB">
            <w:pPr>
              <w:rPr>
                <w:rFonts w:ascii="Montserrat" w:eastAsia="Times New Roman" w:hAnsi="Montserrat" w:cs="Calibri"/>
                <w:color w:val="000000"/>
                <w:sz w:val="18"/>
                <w:szCs w:val="18"/>
                <w:lang w:val="es-MX" w:eastAsia="es-MX"/>
              </w:rPr>
            </w:pPr>
            <w:r w:rsidRPr="009414BB">
              <w:rPr>
                <w:rFonts w:ascii="Montserrat" w:eastAsia="Times New Roman" w:hAnsi="Montserrat" w:cs="Calibri"/>
                <w:b/>
                <w:bCs/>
                <w:color w:val="000000"/>
                <w:sz w:val="18"/>
                <w:szCs w:val="18"/>
                <w:lang w:val="es-MX" w:eastAsia="es-MX"/>
              </w:rPr>
              <w:lastRenderedPageBreak/>
              <w:t>S191</w:t>
            </w:r>
            <w:r w:rsidRPr="009414BB">
              <w:rPr>
                <w:rFonts w:ascii="Montserrat" w:eastAsia="Times New Roman" w:hAnsi="Montserrat" w:cs="Calibri"/>
                <w:color w:val="000000"/>
                <w:sz w:val="18"/>
                <w:szCs w:val="18"/>
                <w:lang w:val="es-MX" w:eastAsia="es-MX"/>
              </w:rPr>
              <w:t>: Sistema Nacional de Investigadores</w:t>
            </w:r>
          </w:p>
        </w:tc>
        <w:tc>
          <w:tcPr>
            <w:tcW w:w="0" w:type="auto"/>
            <w:tcBorders>
              <w:top w:val="nil"/>
              <w:left w:val="nil"/>
              <w:bottom w:val="nil"/>
              <w:right w:val="nil"/>
            </w:tcBorders>
            <w:shd w:val="clear" w:color="000000" w:fill="FFFFFF"/>
            <w:noWrap/>
            <w:vAlign w:val="center"/>
            <w:hideMark/>
          </w:tcPr>
          <w:p w14:paraId="5878E7E4"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20.00%</w:t>
            </w:r>
          </w:p>
        </w:tc>
        <w:tc>
          <w:tcPr>
            <w:tcW w:w="0" w:type="auto"/>
            <w:tcBorders>
              <w:top w:val="nil"/>
              <w:left w:val="nil"/>
              <w:bottom w:val="nil"/>
              <w:right w:val="nil"/>
            </w:tcBorders>
            <w:shd w:val="clear" w:color="000000" w:fill="FFFFFF"/>
            <w:noWrap/>
            <w:vAlign w:val="center"/>
            <w:hideMark/>
          </w:tcPr>
          <w:p w14:paraId="316500FA"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80.00%</w:t>
            </w:r>
          </w:p>
        </w:tc>
        <w:tc>
          <w:tcPr>
            <w:tcW w:w="0" w:type="auto"/>
            <w:tcBorders>
              <w:top w:val="nil"/>
              <w:left w:val="nil"/>
              <w:bottom w:val="nil"/>
              <w:right w:val="nil"/>
            </w:tcBorders>
            <w:shd w:val="clear" w:color="000000" w:fill="FFFFFF"/>
            <w:noWrap/>
            <w:vAlign w:val="center"/>
            <w:hideMark/>
          </w:tcPr>
          <w:p w14:paraId="0AE346EC"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 </w:t>
            </w:r>
          </w:p>
        </w:tc>
        <w:tc>
          <w:tcPr>
            <w:tcW w:w="0" w:type="auto"/>
            <w:tcBorders>
              <w:top w:val="nil"/>
              <w:left w:val="nil"/>
              <w:bottom w:val="nil"/>
              <w:right w:val="nil"/>
            </w:tcBorders>
            <w:shd w:val="clear" w:color="000000" w:fill="FFFFFF"/>
            <w:noWrap/>
            <w:vAlign w:val="center"/>
            <w:hideMark/>
          </w:tcPr>
          <w:p w14:paraId="4C2485E1" w14:textId="77777777" w:rsidR="009414BB" w:rsidRPr="009414BB" w:rsidRDefault="009414BB" w:rsidP="009414BB">
            <w:pPr>
              <w:jc w:val="center"/>
              <w:rPr>
                <w:rFonts w:ascii="Montserrat" w:eastAsia="Times New Roman" w:hAnsi="Montserrat" w:cs="Calibri"/>
                <w:color w:val="000000"/>
                <w:sz w:val="18"/>
                <w:szCs w:val="18"/>
                <w:lang w:val="es-MX" w:eastAsia="es-MX"/>
              </w:rPr>
            </w:pPr>
            <w:r w:rsidRPr="009414BB">
              <w:rPr>
                <w:rFonts w:ascii="Montserrat" w:eastAsia="Times New Roman" w:hAnsi="Montserrat" w:cs="Calibri"/>
                <w:color w:val="000000"/>
                <w:sz w:val="18"/>
                <w:szCs w:val="18"/>
                <w:lang w:val="es-MX" w:eastAsia="es-MX"/>
              </w:rPr>
              <w:t>100.00%</w:t>
            </w:r>
          </w:p>
        </w:tc>
      </w:tr>
      <w:tr w:rsidR="009414BB" w:rsidRPr="009414BB" w14:paraId="35A364FE" w14:textId="77777777" w:rsidTr="009414BB">
        <w:trPr>
          <w:trHeight w:val="300"/>
        </w:trPr>
        <w:tc>
          <w:tcPr>
            <w:tcW w:w="0" w:type="auto"/>
            <w:tcBorders>
              <w:top w:val="single" w:sz="4" w:space="0" w:color="auto"/>
              <w:left w:val="nil"/>
              <w:bottom w:val="single" w:sz="4" w:space="0" w:color="auto"/>
              <w:right w:val="nil"/>
            </w:tcBorders>
            <w:shd w:val="clear" w:color="000000" w:fill="FFFFFF"/>
            <w:noWrap/>
            <w:vAlign w:val="bottom"/>
            <w:hideMark/>
          </w:tcPr>
          <w:p w14:paraId="5E2C1C8A" w14:textId="77777777" w:rsidR="009414BB" w:rsidRPr="009414BB" w:rsidRDefault="009414BB" w:rsidP="009414BB">
            <w:pP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Total</w:t>
            </w:r>
          </w:p>
        </w:tc>
        <w:tc>
          <w:tcPr>
            <w:tcW w:w="0" w:type="auto"/>
            <w:tcBorders>
              <w:top w:val="single" w:sz="4" w:space="0" w:color="auto"/>
              <w:left w:val="nil"/>
              <w:bottom w:val="single" w:sz="4" w:space="0" w:color="auto"/>
              <w:right w:val="nil"/>
            </w:tcBorders>
            <w:shd w:val="clear" w:color="000000" w:fill="FFFFFF"/>
            <w:noWrap/>
            <w:vAlign w:val="bottom"/>
            <w:hideMark/>
          </w:tcPr>
          <w:p w14:paraId="5D4FC9B3" w14:textId="77777777" w:rsidR="009414BB" w:rsidRPr="009414BB" w:rsidRDefault="009414BB" w:rsidP="009414BB">
            <w:pPr>
              <w:jc w:val="cente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7.94%</w:t>
            </w:r>
          </w:p>
        </w:tc>
        <w:tc>
          <w:tcPr>
            <w:tcW w:w="0" w:type="auto"/>
            <w:tcBorders>
              <w:top w:val="single" w:sz="4" w:space="0" w:color="auto"/>
              <w:left w:val="nil"/>
              <w:bottom w:val="single" w:sz="4" w:space="0" w:color="auto"/>
              <w:right w:val="nil"/>
            </w:tcBorders>
            <w:shd w:val="clear" w:color="000000" w:fill="FFFFFF"/>
            <w:noWrap/>
            <w:vAlign w:val="bottom"/>
            <w:hideMark/>
          </w:tcPr>
          <w:p w14:paraId="58F9C3A0" w14:textId="77777777" w:rsidR="009414BB" w:rsidRPr="009414BB" w:rsidRDefault="009414BB" w:rsidP="009414BB">
            <w:pPr>
              <w:jc w:val="cente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85.71%</w:t>
            </w:r>
          </w:p>
        </w:tc>
        <w:tc>
          <w:tcPr>
            <w:tcW w:w="0" w:type="auto"/>
            <w:tcBorders>
              <w:top w:val="single" w:sz="4" w:space="0" w:color="auto"/>
              <w:left w:val="nil"/>
              <w:bottom w:val="single" w:sz="4" w:space="0" w:color="auto"/>
              <w:right w:val="nil"/>
            </w:tcBorders>
            <w:shd w:val="clear" w:color="000000" w:fill="FFFFFF"/>
            <w:noWrap/>
            <w:vAlign w:val="bottom"/>
            <w:hideMark/>
          </w:tcPr>
          <w:p w14:paraId="00D2A4AD" w14:textId="77777777" w:rsidR="009414BB" w:rsidRPr="009414BB" w:rsidRDefault="009414BB" w:rsidP="009414BB">
            <w:pPr>
              <w:jc w:val="cente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6.35%</w:t>
            </w:r>
          </w:p>
        </w:tc>
        <w:tc>
          <w:tcPr>
            <w:tcW w:w="0" w:type="auto"/>
            <w:tcBorders>
              <w:top w:val="single" w:sz="4" w:space="0" w:color="auto"/>
              <w:left w:val="nil"/>
              <w:bottom w:val="single" w:sz="4" w:space="0" w:color="auto"/>
              <w:right w:val="nil"/>
            </w:tcBorders>
            <w:shd w:val="clear" w:color="000000" w:fill="FFFFFF"/>
            <w:noWrap/>
            <w:vAlign w:val="bottom"/>
            <w:hideMark/>
          </w:tcPr>
          <w:p w14:paraId="2C042244" w14:textId="77777777" w:rsidR="009414BB" w:rsidRPr="009414BB" w:rsidRDefault="009414BB" w:rsidP="009414BB">
            <w:pPr>
              <w:jc w:val="center"/>
              <w:rPr>
                <w:rFonts w:ascii="Montserrat" w:eastAsia="Times New Roman" w:hAnsi="Montserrat" w:cs="Calibri"/>
                <w:b/>
                <w:bCs/>
                <w:color w:val="000000"/>
                <w:sz w:val="18"/>
                <w:szCs w:val="18"/>
                <w:lang w:val="es-MX" w:eastAsia="es-MX"/>
              </w:rPr>
            </w:pPr>
            <w:r w:rsidRPr="009414BB">
              <w:rPr>
                <w:rFonts w:ascii="Montserrat" w:eastAsia="Times New Roman" w:hAnsi="Montserrat" w:cs="Calibri"/>
                <w:b/>
                <w:bCs/>
                <w:color w:val="000000"/>
                <w:sz w:val="18"/>
                <w:szCs w:val="18"/>
                <w:lang w:val="es-MX" w:eastAsia="es-MX"/>
              </w:rPr>
              <w:t>100.00%</w:t>
            </w:r>
          </w:p>
        </w:tc>
      </w:tr>
    </w:tbl>
    <w:p w14:paraId="65F20D3A" w14:textId="031C10B7" w:rsidR="003624F7" w:rsidRPr="008A3990" w:rsidRDefault="003624F7" w:rsidP="003624F7">
      <w:pPr>
        <w:jc w:val="both"/>
        <w:rPr>
          <w:rFonts w:ascii="Monserrat" w:hAnsi="Monserrat" w:hint="eastAsia"/>
        </w:rPr>
      </w:pPr>
    </w:p>
    <w:p w14:paraId="11F25479" w14:textId="608BAF2F" w:rsidR="003624F7" w:rsidRDefault="003624F7" w:rsidP="003624F7">
      <w:pPr>
        <w:jc w:val="both"/>
      </w:pPr>
    </w:p>
    <w:p w14:paraId="189F56BD" w14:textId="77777777" w:rsidR="003624F7" w:rsidRDefault="003624F7" w:rsidP="003624F7">
      <w:pPr>
        <w:jc w:val="both"/>
      </w:pPr>
    </w:p>
    <w:p w14:paraId="33CF4DA7" w14:textId="77777777" w:rsidR="003624F7" w:rsidRDefault="003624F7" w:rsidP="003624F7">
      <w:pPr>
        <w:jc w:val="both"/>
      </w:pPr>
    </w:p>
    <w:p w14:paraId="32E2D3F7" w14:textId="77777777" w:rsidR="003624F7" w:rsidRPr="008A3990" w:rsidRDefault="003624F7" w:rsidP="003624F7">
      <w:pPr>
        <w:jc w:val="both"/>
        <w:rPr>
          <w:rFonts w:ascii="Montserrat" w:hAnsi="Montserrat"/>
          <w:sz w:val="22"/>
          <w:szCs w:val="22"/>
        </w:rPr>
      </w:pPr>
      <w:r w:rsidRPr="008A3990">
        <w:rPr>
          <w:rFonts w:ascii="Montserrat" w:hAnsi="Montserrat"/>
          <w:sz w:val="22"/>
          <w:szCs w:val="22"/>
        </w:rPr>
        <w:t>Con la información de los cuadros, puede apreciarse lo siguiente:</w:t>
      </w:r>
    </w:p>
    <w:p w14:paraId="42EA6B78" w14:textId="77777777" w:rsidR="003624F7" w:rsidRPr="008A3990" w:rsidRDefault="003624F7" w:rsidP="003624F7">
      <w:pPr>
        <w:jc w:val="both"/>
        <w:rPr>
          <w:rFonts w:ascii="Montserrat" w:hAnsi="Montserrat"/>
          <w:sz w:val="22"/>
          <w:szCs w:val="22"/>
        </w:rPr>
      </w:pPr>
    </w:p>
    <w:p w14:paraId="3629B209" w14:textId="6379535E" w:rsidR="003624F7" w:rsidRPr="008A3990" w:rsidRDefault="003624F7" w:rsidP="003624F7">
      <w:pPr>
        <w:pStyle w:val="Prrafodelista"/>
        <w:numPr>
          <w:ilvl w:val="0"/>
          <w:numId w:val="3"/>
        </w:numPr>
        <w:jc w:val="both"/>
        <w:rPr>
          <w:rFonts w:ascii="Montserrat" w:hAnsi="Montserrat"/>
          <w:sz w:val="22"/>
          <w:szCs w:val="22"/>
        </w:rPr>
      </w:pPr>
      <w:r w:rsidRPr="008A3990">
        <w:rPr>
          <w:rFonts w:ascii="Montserrat" w:hAnsi="Montserrat"/>
          <w:sz w:val="22"/>
          <w:szCs w:val="22"/>
        </w:rPr>
        <w:t>De los 6</w:t>
      </w:r>
      <w:r w:rsidR="009414BB">
        <w:rPr>
          <w:rFonts w:ascii="Montserrat" w:hAnsi="Montserrat"/>
          <w:sz w:val="22"/>
          <w:szCs w:val="22"/>
        </w:rPr>
        <w:t>3</w:t>
      </w:r>
      <w:r w:rsidRPr="008A3990">
        <w:rPr>
          <w:rFonts w:ascii="Montserrat" w:hAnsi="Montserrat"/>
          <w:sz w:val="22"/>
          <w:szCs w:val="22"/>
        </w:rPr>
        <w:t xml:space="preserve"> indicadores registrados, </w:t>
      </w:r>
      <w:r w:rsidR="009414BB">
        <w:rPr>
          <w:rFonts w:ascii="Montserrat" w:hAnsi="Montserrat"/>
          <w:sz w:val="22"/>
          <w:szCs w:val="22"/>
        </w:rPr>
        <w:t>5</w:t>
      </w:r>
      <w:r w:rsidRPr="008A3990">
        <w:rPr>
          <w:rFonts w:ascii="Montserrat" w:hAnsi="Montserrat"/>
          <w:sz w:val="22"/>
          <w:szCs w:val="22"/>
        </w:rPr>
        <w:t xml:space="preserve"> muestran un desempeño menor al 80%; 5</w:t>
      </w:r>
      <w:r w:rsidR="009414BB">
        <w:rPr>
          <w:rFonts w:ascii="Montserrat" w:hAnsi="Montserrat"/>
          <w:sz w:val="22"/>
          <w:szCs w:val="22"/>
        </w:rPr>
        <w:t>4</w:t>
      </w:r>
      <w:r w:rsidR="00815D63">
        <w:rPr>
          <w:rFonts w:ascii="Montserrat" w:hAnsi="Montserrat"/>
          <w:sz w:val="22"/>
          <w:szCs w:val="22"/>
        </w:rPr>
        <w:t xml:space="preserve"> </w:t>
      </w:r>
      <w:r w:rsidRPr="008A3990">
        <w:rPr>
          <w:rFonts w:ascii="Montserrat" w:hAnsi="Montserrat"/>
          <w:sz w:val="22"/>
          <w:szCs w:val="22"/>
        </w:rPr>
        <w:t xml:space="preserve">tienen un desempeño entre 80% y 115%; y </w:t>
      </w:r>
      <w:r w:rsidR="00815D63">
        <w:rPr>
          <w:rFonts w:ascii="Montserrat" w:hAnsi="Montserrat"/>
          <w:sz w:val="22"/>
          <w:szCs w:val="22"/>
        </w:rPr>
        <w:t>4</w:t>
      </w:r>
      <w:r w:rsidRPr="008A3990">
        <w:rPr>
          <w:rFonts w:ascii="Montserrat" w:hAnsi="Montserrat"/>
          <w:sz w:val="22"/>
          <w:szCs w:val="22"/>
        </w:rPr>
        <w:t xml:space="preserve"> reflejan un desempeño por arriba del 115%. En términos porcentuales, la distribución es </w:t>
      </w:r>
      <w:r w:rsidR="009414BB">
        <w:rPr>
          <w:rFonts w:ascii="Montserrat" w:hAnsi="Montserrat"/>
          <w:sz w:val="22"/>
          <w:szCs w:val="22"/>
        </w:rPr>
        <w:t>7.94</w:t>
      </w:r>
      <w:r w:rsidRPr="008A3990">
        <w:rPr>
          <w:rFonts w:ascii="Montserrat" w:hAnsi="Montserrat"/>
          <w:sz w:val="22"/>
          <w:szCs w:val="22"/>
        </w:rPr>
        <w:t xml:space="preserve">%, </w:t>
      </w:r>
      <w:r w:rsidR="009414BB">
        <w:rPr>
          <w:rFonts w:ascii="Montserrat" w:hAnsi="Montserrat"/>
          <w:sz w:val="22"/>
          <w:szCs w:val="22"/>
        </w:rPr>
        <w:t>85.71</w:t>
      </w:r>
      <w:r w:rsidRPr="008A3990">
        <w:rPr>
          <w:rFonts w:ascii="Montserrat" w:hAnsi="Montserrat"/>
          <w:sz w:val="22"/>
          <w:szCs w:val="22"/>
        </w:rPr>
        <w:t xml:space="preserve">% y </w:t>
      </w:r>
      <w:r w:rsidR="00815D63">
        <w:rPr>
          <w:rFonts w:ascii="Montserrat" w:hAnsi="Montserrat"/>
          <w:sz w:val="22"/>
          <w:szCs w:val="22"/>
        </w:rPr>
        <w:t>6.35</w:t>
      </w:r>
      <w:r w:rsidRPr="008A3990">
        <w:rPr>
          <w:rFonts w:ascii="Montserrat" w:hAnsi="Montserrat"/>
          <w:sz w:val="22"/>
          <w:szCs w:val="22"/>
        </w:rPr>
        <w:t>%, respectivamente. Estos datos, expresan que la gran mayoría de los indicadores de los programas presupuestales de CONACYT, tuvieron un comportamiento adecuado, durante el cuarto trimestre del año.</w:t>
      </w:r>
    </w:p>
    <w:p w14:paraId="789FDC22" w14:textId="77777777" w:rsidR="003624F7" w:rsidRPr="008A3990" w:rsidRDefault="003624F7" w:rsidP="003624F7">
      <w:pPr>
        <w:pStyle w:val="Prrafodelista"/>
        <w:jc w:val="both"/>
        <w:rPr>
          <w:rFonts w:ascii="Montserrat" w:hAnsi="Montserrat"/>
          <w:sz w:val="22"/>
          <w:szCs w:val="22"/>
        </w:rPr>
      </w:pPr>
    </w:p>
    <w:p w14:paraId="27CCEE87" w14:textId="77777777" w:rsidR="003624F7" w:rsidRPr="008A3990" w:rsidRDefault="003624F7" w:rsidP="003624F7">
      <w:pPr>
        <w:pStyle w:val="Prrafodelista"/>
        <w:jc w:val="both"/>
        <w:rPr>
          <w:rFonts w:ascii="Montserrat" w:hAnsi="Montserrat"/>
          <w:sz w:val="22"/>
          <w:szCs w:val="22"/>
        </w:rPr>
      </w:pPr>
    </w:p>
    <w:p w14:paraId="7BE7735A" w14:textId="77777777" w:rsidR="003624F7" w:rsidRPr="008A3990" w:rsidRDefault="003624F7" w:rsidP="003624F7">
      <w:pPr>
        <w:pStyle w:val="Prrafodelista"/>
        <w:numPr>
          <w:ilvl w:val="0"/>
          <w:numId w:val="3"/>
        </w:numPr>
        <w:jc w:val="both"/>
        <w:rPr>
          <w:rFonts w:ascii="Montserrat" w:hAnsi="Montserrat"/>
          <w:sz w:val="22"/>
          <w:szCs w:val="22"/>
        </w:rPr>
      </w:pPr>
      <w:r w:rsidRPr="008A3990">
        <w:rPr>
          <w:rFonts w:ascii="Montserrat" w:hAnsi="Montserrat"/>
          <w:sz w:val="22"/>
          <w:szCs w:val="22"/>
        </w:rPr>
        <w:t>Entre las variaciones más significativas y las causas de estas, podemos señalar que:</w:t>
      </w:r>
      <w:r w:rsidRPr="008A3990">
        <w:rPr>
          <w:rFonts w:ascii="Montserrat" w:hAnsi="Montserrat" w:cs="Times New Roman"/>
          <w:sz w:val="22"/>
          <w:szCs w:val="22"/>
        </w:rPr>
        <w:t xml:space="preserve"> </w:t>
      </w:r>
    </w:p>
    <w:p w14:paraId="79413A61" w14:textId="77777777" w:rsidR="003624F7" w:rsidRPr="008A3990" w:rsidRDefault="003624F7" w:rsidP="003624F7">
      <w:pPr>
        <w:pStyle w:val="Prrafodelista"/>
        <w:jc w:val="both"/>
        <w:rPr>
          <w:rFonts w:ascii="Montserrat" w:hAnsi="Montserrat" w:cs="Times New Roman"/>
          <w:sz w:val="22"/>
          <w:szCs w:val="22"/>
        </w:rPr>
      </w:pPr>
    </w:p>
    <w:p w14:paraId="566990A6" w14:textId="58B6F1B5" w:rsidR="003624F7" w:rsidRPr="008A3990" w:rsidRDefault="003624F7" w:rsidP="003624F7">
      <w:pPr>
        <w:pStyle w:val="Prrafodelista"/>
        <w:jc w:val="both"/>
        <w:rPr>
          <w:rFonts w:ascii="Montserrat" w:hAnsi="Montserrat" w:cs="Times New Roman"/>
          <w:sz w:val="22"/>
          <w:szCs w:val="22"/>
        </w:rPr>
      </w:pPr>
      <w:r w:rsidRPr="008A3990">
        <w:rPr>
          <w:rFonts w:ascii="Montserrat" w:hAnsi="Montserrat" w:cs="Times New Roman"/>
          <w:sz w:val="22"/>
          <w:szCs w:val="22"/>
        </w:rPr>
        <w:t xml:space="preserve">En el Programa E003 “Investigación científica, desarrollo e innovación”, </w:t>
      </w:r>
      <w:r w:rsidR="00815D63">
        <w:rPr>
          <w:rFonts w:ascii="Montserrat" w:hAnsi="Montserrat" w:cs="Times New Roman"/>
          <w:sz w:val="22"/>
          <w:szCs w:val="22"/>
        </w:rPr>
        <w:t>presenta información preliminar debido a que existen Centros Públicos de Investigación que aún no cierran con sus procesos administrativos y alguno otros no presentaron información.</w:t>
      </w:r>
    </w:p>
    <w:p w14:paraId="2ADF226C" w14:textId="77777777" w:rsidR="003624F7" w:rsidRPr="008A3990" w:rsidRDefault="003624F7" w:rsidP="003624F7">
      <w:pPr>
        <w:pStyle w:val="Prrafodelista"/>
        <w:jc w:val="both"/>
        <w:rPr>
          <w:rFonts w:ascii="Montserrat" w:hAnsi="Montserrat" w:cs="Times New Roman"/>
          <w:sz w:val="22"/>
          <w:szCs w:val="22"/>
        </w:rPr>
      </w:pPr>
    </w:p>
    <w:p w14:paraId="67524E7A" w14:textId="51CD418F" w:rsidR="007F6A6E" w:rsidRDefault="00815D63" w:rsidP="003624F7">
      <w:pPr>
        <w:pStyle w:val="Prrafodelista"/>
        <w:jc w:val="both"/>
        <w:rPr>
          <w:rFonts w:ascii="Montserrat" w:hAnsi="Montserrat" w:cs="Times New Roman"/>
          <w:sz w:val="22"/>
          <w:szCs w:val="22"/>
        </w:rPr>
      </w:pPr>
      <w:r>
        <w:rPr>
          <w:rFonts w:ascii="Montserrat" w:hAnsi="Montserrat" w:cs="Times New Roman"/>
          <w:sz w:val="22"/>
          <w:szCs w:val="22"/>
        </w:rPr>
        <w:t>Con relación al P</w:t>
      </w:r>
      <w:r w:rsidR="003624F7" w:rsidRPr="008A3990">
        <w:rPr>
          <w:rFonts w:ascii="Montserrat" w:hAnsi="Montserrat" w:cs="Times New Roman"/>
          <w:sz w:val="22"/>
          <w:szCs w:val="22"/>
        </w:rPr>
        <w:t>rograma F00</w:t>
      </w:r>
      <w:r>
        <w:rPr>
          <w:rFonts w:ascii="Montserrat" w:hAnsi="Montserrat" w:cs="Times New Roman"/>
          <w:sz w:val="22"/>
          <w:szCs w:val="22"/>
        </w:rPr>
        <w:t>3</w:t>
      </w:r>
      <w:r w:rsidR="003624F7" w:rsidRPr="008A3990">
        <w:rPr>
          <w:rFonts w:ascii="Montserrat" w:hAnsi="Montserrat" w:cs="Times New Roman"/>
          <w:sz w:val="22"/>
          <w:szCs w:val="22"/>
        </w:rPr>
        <w:t xml:space="preserve"> “</w:t>
      </w:r>
      <w:r w:rsidRPr="008A3990">
        <w:rPr>
          <w:rFonts w:ascii="Montserrat" w:hAnsi="Montserrat" w:cs="Times New Roman"/>
          <w:sz w:val="22"/>
          <w:szCs w:val="22"/>
        </w:rPr>
        <w:t>Programas nacionales estratégicos de ciencia, tecnología y vinculación con el sector social, público y privado</w:t>
      </w:r>
      <w:r w:rsidR="003624F7" w:rsidRPr="008A3990">
        <w:rPr>
          <w:rFonts w:ascii="Montserrat" w:hAnsi="Montserrat" w:cs="Times New Roman"/>
          <w:sz w:val="22"/>
          <w:szCs w:val="22"/>
        </w:rPr>
        <w:t>”,</w:t>
      </w:r>
      <w:r w:rsidR="007F6A6E">
        <w:rPr>
          <w:rFonts w:ascii="Montserrat" w:hAnsi="Montserrat" w:cs="Times New Roman"/>
          <w:sz w:val="22"/>
          <w:szCs w:val="22"/>
        </w:rPr>
        <w:t xml:space="preserve"> se realizaron ajustes a la MIR del Programa con el propósito de que fuera vinculante a los Lineamientos del Programa y debido a que este instrumento de seguimiento del desempeño tenía indicadores que ya no eran acordes con la forma en la que operó en 2021 el Programa.</w:t>
      </w:r>
    </w:p>
    <w:p w14:paraId="4A58FEA3" w14:textId="77777777" w:rsidR="007F6A6E" w:rsidRDefault="007F6A6E" w:rsidP="003624F7">
      <w:pPr>
        <w:pStyle w:val="Prrafodelista"/>
        <w:jc w:val="both"/>
        <w:rPr>
          <w:rFonts w:ascii="Montserrat" w:hAnsi="Montserrat" w:cs="Times New Roman"/>
          <w:sz w:val="22"/>
          <w:szCs w:val="22"/>
        </w:rPr>
      </w:pPr>
    </w:p>
    <w:p w14:paraId="0C851BBD" w14:textId="7A521D96" w:rsidR="00CC14FA" w:rsidRPr="003624F7" w:rsidRDefault="003624F7" w:rsidP="009D283A">
      <w:pPr>
        <w:pStyle w:val="Prrafodelista"/>
        <w:jc w:val="both"/>
      </w:pPr>
      <w:r w:rsidRPr="008A3990">
        <w:rPr>
          <w:rFonts w:ascii="Montserrat" w:hAnsi="Montserrat" w:cs="Times New Roman"/>
          <w:sz w:val="22"/>
          <w:szCs w:val="22"/>
        </w:rPr>
        <w:t xml:space="preserve">En el Programa S191 “Sistema Nacional de Investigadores”, </w:t>
      </w:r>
      <w:r w:rsidR="008247FE">
        <w:rPr>
          <w:rFonts w:ascii="Montserrat" w:hAnsi="Montserrat" w:cs="Times New Roman"/>
          <w:sz w:val="22"/>
          <w:szCs w:val="22"/>
        </w:rPr>
        <w:t xml:space="preserve">se agregaron indicadores derivados de la revisión del Órgano Interno de Control y de la asesoría técnica proporcionada por el </w:t>
      </w:r>
      <w:r w:rsidR="008247FE" w:rsidRPr="008247FE">
        <w:rPr>
          <w:rFonts w:ascii="Montserrat" w:hAnsi="Montserrat" w:cs="Times New Roman"/>
          <w:sz w:val="22"/>
          <w:szCs w:val="22"/>
        </w:rPr>
        <w:t>Consejo Nacional de Evaluación de la Política de Desarrollo Social (CONEVAL)</w:t>
      </w:r>
      <w:r w:rsidR="008247FE">
        <w:rPr>
          <w:rFonts w:ascii="Montserrat" w:hAnsi="Montserrat" w:cs="Times New Roman"/>
          <w:sz w:val="22"/>
          <w:szCs w:val="22"/>
        </w:rPr>
        <w:t xml:space="preserve">. </w:t>
      </w:r>
    </w:p>
    <w:sectPr w:rsidR="00CC14FA" w:rsidRPr="003624F7"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F13" w14:textId="77777777" w:rsidR="00081A29" w:rsidRDefault="00081A29" w:rsidP="005C6F62">
      <w:r>
        <w:separator/>
      </w:r>
    </w:p>
  </w:endnote>
  <w:endnote w:type="continuationSeparator" w:id="0">
    <w:p w14:paraId="76E9CEED" w14:textId="77777777" w:rsidR="00081A29" w:rsidRDefault="00081A2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on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ABBF" w14:textId="77777777" w:rsidR="00081A29" w:rsidRDefault="00081A29" w:rsidP="005C6F62">
      <w:r>
        <w:separator/>
      </w:r>
    </w:p>
  </w:footnote>
  <w:footnote w:type="continuationSeparator" w:id="0">
    <w:p w14:paraId="3CEA5426" w14:textId="77777777" w:rsidR="00081A29" w:rsidRDefault="00081A2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706276BB">
          <wp:simplePos x="0" y="0"/>
          <wp:positionH relativeFrom="margin">
            <wp:align>center</wp:align>
          </wp:positionH>
          <wp:positionV relativeFrom="paragraph">
            <wp:posOffset>-429895</wp:posOffset>
          </wp:positionV>
          <wp:extent cx="7743182" cy="1007896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43182" cy="1007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1C105D"/>
    <w:multiLevelType w:val="hybridMultilevel"/>
    <w:tmpl w:val="CA362838"/>
    <w:lvl w:ilvl="0" w:tplc="BF9AED72">
      <w:numFmt w:val="bullet"/>
      <w:lvlText w:val="-"/>
      <w:lvlJc w:val="left"/>
      <w:pPr>
        <w:ind w:left="1080" w:hanging="360"/>
      </w:pPr>
      <w:rPr>
        <w:rFonts w:ascii="Montserrat" w:eastAsiaTheme="minorEastAsia" w:hAnsi="Montserrat"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75990"/>
    <w:rsid w:val="00081A29"/>
    <w:rsid w:val="000F1175"/>
    <w:rsid w:val="001149BA"/>
    <w:rsid w:val="00147305"/>
    <w:rsid w:val="0018280B"/>
    <w:rsid w:val="00187404"/>
    <w:rsid w:val="001E0A72"/>
    <w:rsid w:val="002D2C06"/>
    <w:rsid w:val="003067D8"/>
    <w:rsid w:val="003503AD"/>
    <w:rsid w:val="003624F7"/>
    <w:rsid w:val="003654B7"/>
    <w:rsid w:val="003B277E"/>
    <w:rsid w:val="003C20A8"/>
    <w:rsid w:val="003E2B98"/>
    <w:rsid w:val="003F4C59"/>
    <w:rsid w:val="004636CF"/>
    <w:rsid w:val="004C64FF"/>
    <w:rsid w:val="004D34E4"/>
    <w:rsid w:val="004E0CD2"/>
    <w:rsid w:val="00504D28"/>
    <w:rsid w:val="00563455"/>
    <w:rsid w:val="005C0C2A"/>
    <w:rsid w:val="005C47D3"/>
    <w:rsid w:val="005C6F62"/>
    <w:rsid w:val="00621622"/>
    <w:rsid w:val="006646F0"/>
    <w:rsid w:val="00673B76"/>
    <w:rsid w:val="0069291B"/>
    <w:rsid w:val="006D0505"/>
    <w:rsid w:val="006D68C7"/>
    <w:rsid w:val="006E3E2D"/>
    <w:rsid w:val="006F39E5"/>
    <w:rsid w:val="00784358"/>
    <w:rsid w:val="007902DE"/>
    <w:rsid w:val="007F6A6E"/>
    <w:rsid w:val="00805376"/>
    <w:rsid w:val="00815D63"/>
    <w:rsid w:val="008247FE"/>
    <w:rsid w:val="0084377C"/>
    <w:rsid w:val="008947DF"/>
    <w:rsid w:val="008A1D3D"/>
    <w:rsid w:val="008A3990"/>
    <w:rsid w:val="0090066B"/>
    <w:rsid w:val="0092612A"/>
    <w:rsid w:val="009414BB"/>
    <w:rsid w:val="0098405E"/>
    <w:rsid w:val="009947F3"/>
    <w:rsid w:val="009B1EF6"/>
    <w:rsid w:val="009C3F7A"/>
    <w:rsid w:val="009D283A"/>
    <w:rsid w:val="00A00D9E"/>
    <w:rsid w:val="00AB5BC2"/>
    <w:rsid w:val="00B16560"/>
    <w:rsid w:val="00B22F1C"/>
    <w:rsid w:val="00B74BE2"/>
    <w:rsid w:val="00BA4FA3"/>
    <w:rsid w:val="00BC5DEB"/>
    <w:rsid w:val="00C806D8"/>
    <w:rsid w:val="00C826A2"/>
    <w:rsid w:val="00C83E34"/>
    <w:rsid w:val="00CC14FA"/>
    <w:rsid w:val="00D15D3A"/>
    <w:rsid w:val="00D555C3"/>
    <w:rsid w:val="00D96584"/>
    <w:rsid w:val="00E03D15"/>
    <w:rsid w:val="00E528C1"/>
    <w:rsid w:val="00E9134E"/>
    <w:rsid w:val="00ED1DA1"/>
    <w:rsid w:val="00F1112B"/>
    <w:rsid w:val="00F3285E"/>
    <w:rsid w:val="00F536D5"/>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2D1D91"/>
  <w14:defaultImageDpi w14:val="300"/>
  <w15:docId w15:val="{8D9FD5E1-97D4-4EB9-944A-2101B578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36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286">
      <w:bodyDiv w:val="1"/>
      <w:marLeft w:val="0"/>
      <w:marRight w:val="0"/>
      <w:marTop w:val="0"/>
      <w:marBottom w:val="0"/>
      <w:divBdr>
        <w:top w:val="none" w:sz="0" w:space="0" w:color="auto"/>
        <w:left w:val="none" w:sz="0" w:space="0" w:color="auto"/>
        <w:bottom w:val="none" w:sz="0" w:space="0" w:color="auto"/>
        <w:right w:val="none" w:sz="0" w:space="0" w:color="auto"/>
      </w:divBdr>
    </w:div>
    <w:div w:id="376201101">
      <w:bodyDiv w:val="1"/>
      <w:marLeft w:val="0"/>
      <w:marRight w:val="0"/>
      <w:marTop w:val="0"/>
      <w:marBottom w:val="0"/>
      <w:divBdr>
        <w:top w:val="none" w:sz="0" w:space="0" w:color="auto"/>
        <w:left w:val="none" w:sz="0" w:space="0" w:color="auto"/>
        <w:bottom w:val="none" w:sz="0" w:space="0" w:color="auto"/>
        <w:right w:val="none" w:sz="0" w:space="0" w:color="auto"/>
      </w:divBdr>
    </w:div>
    <w:div w:id="603615221">
      <w:bodyDiv w:val="1"/>
      <w:marLeft w:val="0"/>
      <w:marRight w:val="0"/>
      <w:marTop w:val="0"/>
      <w:marBottom w:val="0"/>
      <w:divBdr>
        <w:top w:val="none" w:sz="0" w:space="0" w:color="auto"/>
        <w:left w:val="none" w:sz="0" w:space="0" w:color="auto"/>
        <w:bottom w:val="none" w:sz="0" w:space="0" w:color="auto"/>
        <w:right w:val="none" w:sz="0" w:space="0" w:color="auto"/>
      </w:divBdr>
    </w:div>
    <w:div w:id="808014833">
      <w:bodyDiv w:val="1"/>
      <w:marLeft w:val="0"/>
      <w:marRight w:val="0"/>
      <w:marTop w:val="0"/>
      <w:marBottom w:val="0"/>
      <w:divBdr>
        <w:top w:val="none" w:sz="0" w:space="0" w:color="auto"/>
        <w:left w:val="none" w:sz="0" w:space="0" w:color="auto"/>
        <w:bottom w:val="none" w:sz="0" w:space="0" w:color="auto"/>
        <w:right w:val="none" w:sz="0" w:space="0" w:color="auto"/>
      </w:divBdr>
    </w:div>
    <w:div w:id="2118015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709B-BACC-7643-8420-791A67EB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Evaluación</cp:lastModifiedBy>
  <cp:revision>3</cp:revision>
  <cp:lastPrinted>2018-12-10T18:18:00Z</cp:lastPrinted>
  <dcterms:created xsi:type="dcterms:W3CDTF">2022-01-20T20:47:00Z</dcterms:created>
  <dcterms:modified xsi:type="dcterms:W3CDTF">2022-01-20T23:10:00Z</dcterms:modified>
</cp:coreProperties>
</file>