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32F57" w14:textId="77777777" w:rsidR="00A71BED" w:rsidRPr="002F0ACE" w:rsidRDefault="00A71BED" w:rsidP="00A71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CE">
        <w:rPr>
          <w:rFonts w:ascii="Times New Roman" w:hAnsi="Times New Roman" w:cs="Times New Roman"/>
          <w:b/>
          <w:sz w:val="28"/>
          <w:szCs w:val="28"/>
        </w:rPr>
        <w:t>Informe de desempeño de los Programas Presupuestarios del CONACYT</w:t>
      </w:r>
    </w:p>
    <w:p w14:paraId="0F9C2714" w14:textId="77777777" w:rsidR="00A71BED" w:rsidRPr="002F0ACE" w:rsidRDefault="00A71BED" w:rsidP="00A71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3D127" w14:textId="19CDBE3A" w:rsidR="00A71BED" w:rsidRPr="002F0ACE" w:rsidRDefault="00A71BED" w:rsidP="00A71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CE">
        <w:rPr>
          <w:rFonts w:ascii="Times New Roman" w:hAnsi="Times New Roman" w:cs="Times New Roman"/>
          <w:b/>
          <w:sz w:val="28"/>
          <w:szCs w:val="28"/>
        </w:rPr>
        <w:t>(</w:t>
      </w:r>
      <w:r w:rsidR="002F0ACE">
        <w:rPr>
          <w:rFonts w:ascii="Times New Roman" w:hAnsi="Times New Roman" w:cs="Times New Roman"/>
          <w:b/>
          <w:sz w:val="28"/>
          <w:szCs w:val="28"/>
        </w:rPr>
        <w:t>3º Trimestre 2019</w:t>
      </w:r>
      <w:r w:rsidRPr="002F0ACE">
        <w:rPr>
          <w:rFonts w:ascii="Times New Roman" w:hAnsi="Times New Roman" w:cs="Times New Roman"/>
          <w:b/>
          <w:sz w:val="28"/>
          <w:szCs w:val="28"/>
        </w:rPr>
        <w:t>)</w:t>
      </w:r>
    </w:p>
    <w:p w14:paraId="65CBA96C" w14:textId="77777777" w:rsidR="00A71BED" w:rsidRPr="002F0ACE" w:rsidRDefault="00A71BED" w:rsidP="00A7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2F6F92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En atención a la normatividad vigente en materia de monitoreo y evaluación, el Consejo Nacional de Ciencia y Tecnología (CONACYT), se encuentra mandatado a realizar reportes periódicos de los avances de metas de indicadores, correspondientes a sus programas presupuestarios. Dichos reportes, se basan en la información contenida en las Matrices de Indicadores de Resultados (MIR), registradas en el Portal aplicativo de la Secretaria de Hacienda (PASH).</w:t>
      </w:r>
    </w:p>
    <w:p w14:paraId="23D81DFD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</w:p>
    <w:p w14:paraId="3503469B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La mecánica de reporte ante las diversas instancias fiscalizadoras es la siguiente:</w:t>
      </w:r>
    </w:p>
    <w:p w14:paraId="59B87E06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</w:p>
    <w:p w14:paraId="15C7A498" w14:textId="27294475" w:rsidR="00A71BED" w:rsidRPr="00A71BED" w:rsidRDefault="00A71BED" w:rsidP="00A71BE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El primer y tercer trimestre, se reportan los indicadores de periodicidad trimestral.</w:t>
      </w:r>
    </w:p>
    <w:p w14:paraId="27020ABA" w14:textId="2433491C" w:rsidR="00A71BED" w:rsidRPr="00A71BED" w:rsidRDefault="00A71BED" w:rsidP="00A71BE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El segundo trimest</w:t>
      </w:r>
      <w:r w:rsidR="009409DA">
        <w:rPr>
          <w:rFonts w:ascii="Times New Roman" w:hAnsi="Times New Roman" w:cs="Times New Roman"/>
        </w:rPr>
        <w:t>re, se reportan los indicadores trimestrales</w:t>
      </w:r>
      <w:r w:rsidRPr="00A71BED">
        <w:rPr>
          <w:rFonts w:ascii="Times New Roman" w:hAnsi="Times New Roman" w:cs="Times New Roman"/>
        </w:rPr>
        <w:t>, así como los que derivan del primer semestre.</w:t>
      </w:r>
    </w:p>
    <w:p w14:paraId="14623B31" w14:textId="00E98881" w:rsidR="00A71BED" w:rsidRPr="00A71BED" w:rsidRDefault="00A71BED" w:rsidP="00A71BE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 xml:space="preserve">El cierre de año, se reportan los </w:t>
      </w:r>
      <w:r w:rsidR="0018471F">
        <w:rPr>
          <w:rFonts w:ascii="Times New Roman" w:hAnsi="Times New Roman" w:cs="Times New Roman"/>
        </w:rPr>
        <w:t>indicadores trimestrales</w:t>
      </w:r>
      <w:r w:rsidRPr="00A71BED">
        <w:rPr>
          <w:rFonts w:ascii="Times New Roman" w:hAnsi="Times New Roman" w:cs="Times New Roman"/>
        </w:rPr>
        <w:t xml:space="preserve">, los del segundo semestre y los anuales, si así procede. </w:t>
      </w:r>
    </w:p>
    <w:p w14:paraId="1785946E" w14:textId="77777777" w:rsidR="00A71BED" w:rsidRPr="00A71BED" w:rsidRDefault="00A71BED" w:rsidP="00A71BED">
      <w:pPr>
        <w:ind w:left="360"/>
        <w:jc w:val="both"/>
        <w:rPr>
          <w:rFonts w:ascii="Times New Roman" w:hAnsi="Times New Roman" w:cs="Times New Roman"/>
        </w:rPr>
      </w:pPr>
    </w:p>
    <w:p w14:paraId="7A9BFA54" w14:textId="0195EF21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 xml:space="preserve">Cabe señalar </w:t>
      </w:r>
      <w:r w:rsidR="002F0ACE" w:rsidRPr="00A71BED">
        <w:rPr>
          <w:rFonts w:ascii="Times New Roman" w:hAnsi="Times New Roman" w:cs="Times New Roman"/>
        </w:rPr>
        <w:t>que,</w:t>
      </w:r>
      <w:r w:rsidRPr="00A71BED">
        <w:rPr>
          <w:rFonts w:ascii="Times New Roman" w:hAnsi="Times New Roman" w:cs="Times New Roman"/>
        </w:rPr>
        <w:t xml:space="preserve"> para calcular el desempeño de cada programa, se genera un cociente entre la meta alcanzada con respecto a la meta planeada para el trimestre correspondiente, multiplicado por 100 a fin de expresarse como porcentaje. </w:t>
      </w:r>
    </w:p>
    <w:p w14:paraId="4CDF5576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</w:p>
    <w:p w14:paraId="2EDE6DE7" w14:textId="4BA273D9" w:rsidR="00A71BED" w:rsidRPr="00A71BED" w:rsidRDefault="00247BEB" w:rsidP="00A71B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rangos para evaluar</w:t>
      </w:r>
      <w:r w:rsidR="00A71BED" w:rsidRPr="00A71BED">
        <w:rPr>
          <w:rFonts w:ascii="Times New Roman" w:hAnsi="Times New Roman" w:cs="Times New Roman"/>
        </w:rPr>
        <w:t xml:space="preserve"> el desempeño de los programas presupuestarios son los siguientes:</w:t>
      </w:r>
    </w:p>
    <w:p w14:paraId="262B0F2F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</w:p>
    <w:p w14:paraId="5CF256DD" w14:textId="77777777" w:rsidR="00A71BED" w:rsidRPr="00A71BED" w:rsidRDefault="00A71BED" w:rsidP="00A71BE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Un indicador tiene un desempeño adecuado cuando su porcentaje de cumplimiento oscila entre el 80 y el 115 por ciento. Esto, debido a los factores imponderables que eventualmente pueden incidir sobre el indicador, generando que el desempeño no sea igual a 100 por ciento.</w:t>
      </w:r>
    </w:p>
    <w:p w14:paraId="57FB3F7D" w14:textId="77777777" w:rsidR="00A71BED" w:rsidRPr="00A71BED" w:rsidRDefault="00A71BED" w:rsidP="00A71BE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Cuando el indicador tiene un desempeño menor al 80 por ciento, la meta alcanzada es mucho menor a la meta planeada</w:t>
      </w:r>
    </w:p>
    <w:p w14:paraId="5CBF8B21" w14:textId="77777777" w:rsidR="00A71BED" w:rsidRPr="00A71BED" w:rsidRDefault="00A71BED" w:rsidP="00A71BE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Si el indicador es superior al 115 por ciento, denota que la meta alcanzada es mucho mayor que la planeada.</w:t>
      </w:r>
    </w:p>
    <w:p w14:paraId="3B496055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</w:p>
    <w:p w14:paraId="09017393" w14:textId="77777777" w:rsidR="00A71BED" w:rsidRPr="00A71BED" w:rsidRDefault="00A71BED" w:rsidP="00A71BED">
      <w:pPr>
        <w:jc w:val="both"/>
        <w:rPr>
          <w:rFonts w:ascii="Times New Roman" w:hAnsi="Times New Roman" w:cs="Times New Roman"/>
          <w:noProof/>
          <w:color w:val="FF0000"/>
          <w:lang w:val="es-MX" w:eastAsia="es-MX"/>
        </w:rPr>
      </w:pPr>
      <w:r w:rsidRPr="00A71BED">
        <w:rPr>
          <w:rFonts w:ascii="Times New Roman" w:hAnsi="Times New Roman" w:cs="Times New Roman"/>
        </w:rPr>
        <w:t>En los dos últimos casos, se sugiere mejorar la planificación de las metas, a efecto de contar con un buen desempeño del indicador.</w:t>
      </w:r>
    </w:p>
    <w:p w14:paraId="17BB87F3" w14:textId="77777777" w:rsidR="00A71BED" w:rsidRPr="00A71BED" w:rsidRDefault="00A71BED" w:rsidP="00A71BED">
      <w:pPr>
        <w:jc w:val="both"/>
        <w:rPr>
          <w:rFonts w:ascii="Times New Roman" w:hAnsi="Times New Roman" w:cs="Times New Roman"/>
          <w:color w:val="FF0000"/>
        </w:rPr>
      </w:pPr>
    </w:p>
    <w:p w14:paraId="105B3BF0" w14:textId="78410086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Como aspectos relevantes del balance presentado</w:t>
      </w:r>
      <w:r w:rsidR="000F5462">
        <w:rPr>
          <w:rFonts w:ascii="Times New Roman" w:hAnsi="Times New Roman" w:cs="Times New Roman"/>
        </w:rPr>
        <w:t>,</w:t>
      </w:r>
      <w:r w:rsidRPr="00A71BED">
        <w:rPr>
          <w:rFonts w:ascii="Times New Roman" w:hAnsi="Times New Roman" w:cs="Times New Roman"/>
        </w:rPr>
        <w:t xml:space="preserve"> en los cuadros 1 y 2, se exponen los siguientes hallazgos:</w:t>
      </w:r>
    </w:p>
    <w:p w14:paraId="078914DD" w14:textId="03C3731F" w:rsidR="005A6268" w:rsidRDefault="00486C7F" w:rsidP="004C64FF">
      <w:pPr>
        <w:rPr>
          <w:rFonts w:ascii="Arial" w:hAnsi="Arial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61312" behindDoc="0" locked="0" layoutInCell="1" allowOverlap="1" wp14:anchorId="72E7777E" wp14:editId="54B36F84">
            <wp:simplePos x="0" y="0"/>
            <wp:positionH relativeFrom="column">
              <wp:posOffset>-576580</wp:posOffset>
            </wp:positionH>
            <wp:positionV relativeFrom="paragraph">
              <wp:posOffset>3817620</wp:posOffset>
            </wp:positionV>
            <wp:extent cx="7105650" cy="40671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8" t="40524" r="9029" b="16619"/>
                    <a:stretch/>
                  </pic:blipFill>
                  <pic:spPr bwMode="auto">
                    <a:xfrm>
                      <a:off x="0" y="0"/>
                      <a:ext cx="7105650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268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78FF57B4" wp14:editId="7C978DE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172325" cy="37052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1" t="25035" r="28717" b="48445"/>
                    <a:stretch/>
                  </pic:blipFill>
                  <pic:spPr bwMode="auto">
                    <a:xfrm>
                      <a:off x="0" y="0"/>
                      <a:ext cx="7172325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D1702" w14:textId="2BC063BA" w:rsidR="002A1FF4" w:rsidRDefault="00653D2C" w:rsidP="002A1FF4">
      <w:pPr>
        <w:jc w:val="both"/>
      </w:pPr>
      <w:r>
        <w:lastRenderedPageBreak/>
        <w:t>Con la información expuesta en los cuadros, puede apreciarse lo siguiente:</w:t>
      </w:r>
    </w:p>
    <w:p w14:paraId="60A872BA" w14:textId="77777777" w:rsidR="002A1FF4" w:rsidRDefault="002A1FF4" w:rsidP="002A1FF4">
      <w:pPr>
        <w:jc w:val="both"/>
      </w:pPr>
    </w:p>
    <w:p w14:paraId="394642F4" w14:textId="3BD4E17B" w:rsidR="002A1FF4" w:rsidRDefault="002A1FF4" w:rsidP="002A1FF4">
      <w:pPr>
        <w:pStyle w:val="Prrafodelista"/>
        <w:numPr>
          <w:ilvl w:val="0"/>
          <w:numId w:val="3"/>
        </w:numPr>
        <w:jc w:val="both"/>
      </w:pPr>
      <w:r>
        <w:t>De los 13 indicadores registrados, 1 muestra un desempeño menor al 80%; 11 tienen un desempeño entre 80% y 115%; y 1</w:t>
      </w:r>
      <w:r w:rsidR="00247BEB">
        <w:t xml:space="preserve"> refleja</w:t>
      </w:r>
      <w:r>
        <w:t xml:space="preserve"> un desempeño por arriba del 115%. En términos porcentuales, la distribución es 7.70%, </w:t>
      </w:r>
      <w:r w:rsidR="004A2B45">
        <w:t>84.61</w:t>
      </w:r>
      <w:r>
        <w:t xml:space="preserve">% y </w:t>
      </w:r>
      <w:r w:rsidR="004A2B45">
        <w:t>7</w:t>
      </w:r>
      <w:r>
        <w:t>.69%</w:t>
      </w:r>
      <w:r w:rsidR="00D43EB6">
        <w:t>,</w:t>
      </w:r>
      <w:r w:rsidR="002C42D6">
        <w:t xml:space="preserve"> respectivamente. Estos</w:t>
      </w:r>
      <w:r>
        <w:t xml:space="preserve"> dato</w:t>
      </w:r>
      <w:r w:rsidR="002C42D6">
        <w:t>s</w:t>
      </w:r>
      <w:r>
        <w:t>, expresa</w:t>
      </w:r>
      <w:r w:rsidR="002C42D6">
        <w:t>n</w:t>
      </w:r>
      <w:r>
        <w:t xml:space="preserve"> que la gran mayoría de los indicadores de los programas presupuestales de CONACYT, tuvieron un comportami</w:t>
      </w:r>
      <w:r w:rsidR="004A2B45">
        <w:t>ento adecuado, durante el tercer</w:t>
      </w:r>
      <w:r>
        <w:t xml:space="preserve"> trimestre del año.</w:t>
      </w:r>
    </w:p>
    <w:p w14:paraId="57836E5E" w14:textId="77777777" w:rsidR="002A1FF4" w:rsidRDefault="002A1FF4" w:rsidP="002A1FF4">
      <w:pPr>
        <w:pStyle w:val="Prrafodelista"/>
        <w:jc w:val="both"/>
      </w:pPr>
    </w:p>
    <w:p w14:paraId="00B75C7E" w14:textId="2DC1396F" w:rsidR="004A2B45" w:rsidRDefault="004A2B45" w:rsidP="002A1FF4">
      <w:pPr>
        <w:pStyle w:val="Prrafodelista"/>
        <w:numPr>
          <w:ilvl w:val="0"/>
          <w:numId w:val="3"/>
        </w:numPr>
        <w:jc w:val="both"/>
      </w:pPr>
      <w:r>
        <w:t>Entre las</w:t>
      </w:r>
      <w:r w:rsidR="002A1FF4">
        <w:t xml:space="preserve"> </w:t>
      </w:r>
      <w:r>
        <w:t>variaciones más significativas y las causas de est</w:t>
      </w:r>
      <w:r w:rsidR="00171450">
        <w:t>as, podemos señalar lo sucesivo</w:t>
      </w:r>
      <w:r>
        <w:t>:</w:t>
      </w:r>
    </w:p>
    <w:p w14:paraId="612BE09E" w14:textId="77777777" w:rsidR="004A2B45" w:rsidRDefault="004A2B45" w:rsidP="004A2B45">
      <w:pPr>
        <w:pStyle w:val="Prrafodelista"/>
      </w:pPr>
    </w:p>
    <w:p w14:paraId="4C094B9A" w14:textId="6374ED73" w:rsidR="004A2B45" w:rsidRDefault="004A2B45" w:rsidP="004A2B45">
      <w:pPr>
        <w:pStyle w:val="Prrafodelista"/>
        <w:jc w:val="both"/>
      </w:pPr>
      <w:r>
        <w:t>a) El indicador del Programa F002 tuvo un desempeño por debajo de la meta, toda vez que los recursos</w:t>
      </w:r>
      <w:r w:rsidR="00A2293D">
        <w:t xml:space="preserve"> de los Fondos son multianuales. E</w:t>
      </w:r>
      <w:r>
        <w:t>sto implica que se tengan recursos comprometidos que vienen de ejercicios anteriores para los años subsiguientes y solo una parte de estos recursos se ejercen en el año en curso.</w:t>
      </w:r>
    </w:p>
    <w:p w14:paraId="65641D65" w14:textId="4CC890FE" w:rsidR="004A2B45" w:rsidRDefault="004A2B45" w:rsidP="004A2B45">
      <w:pPr>
        <w:pStyle w:val="Prrafodelista"/>
        <w:jc w:val="both"/>
      </w:pPr>
    </w:p>
    <w:p w14:paraId="1BA61F60" w14:textId="59BE087A" w:rsidR="004A2B45" w:rsidRDefault="004A2B45" w:rsidP="004A2B45">
      <w:pPr>
        <w:pStyle w:val="Prrafodelista"/>
        <w:jc w:val="both"/>
      </w:pPr>
      <w:r>
        <w:t>Por otro lado, aunque ya se contaba con diversas convocatorias publicadas al primer semestre el recurso aún no se había ministrado, debido a que ello sucede una vez que se concluye el proceso de selección</w:t>
      </w:r>
      <w:r w:rsidR="00186EE5">
        <w:t>. H</w:t>
      </w:r>
      <w:r>
        <w:t xml:space="preserve">asta entonces se realiza la adecuación presupuestal correspondiente, para que las Secretarias Técnicas del Programa F002 den seguimiento a su solicitud ante la Dirección de Administración Presupuestal y Financiera para la transferencia de recursos a los Sujetos de Apoyo, conforme a los términos que se establezcan en el CAR/CAB, previa formalización. </w:t>
      </w:r>
    </w:p>
    <w:p w14:paraId="7C5298F8" w14:textId="77777777" w:rsidR="004A2B45" w:rsidRDefault="004A2B45" w:rsidP="004A2B45">
      <w:pPr>
        <w:pStyle w:val="Prrafodelista"/>
        <w:jc w:val="both"/>
      </w:pPr>
    </w:p>
    <w:p w14:paraId="15CECE55" w14:textId="32D503A0" w:rsidR="004A2B45" w:rsidRDefault="004A2B45" w:rsidP="004A2B45">
      <w:pPr>
        <w:pStyle w:val="Prrafodelista"/>
        <w:jc w:val="both"/>
      </w:pPr>
      <w:r>
        <w:t>Finalmente, debido a los ajustes administrativos derivados del proceso de transición sexenal</w:t>
      </w:r>
      <w:r w:rsidR="000578CD">
        <w:t>,</w:t>
      </w:r>
      <w:r>
        <w:t xml:space="preserve"> el dinamismo para ejercer los recursos durante el primer semestre fue menor al esperado, en tanto que durante el segundo semestre se ha alcanzado el 90 % del ejercicio del presupuesto disponible del Programa F002.</w:t>
      </w:r>
    </w:p>
    <w:p w14:paraId="21D12879" w14:textId="700A5F27" w:rsidR="0041347D" w:rsidRDefault="0041347D" w:rsidP="004A2B45">
      <w:pPr>
        <w:pStyle w:val="Prrafodelista"/>
        <w:jc w:val="both"/>
      </w:pPr>
    </w:p>
    <w:p w14:paraId="4EC99C71" w14:textId="77777777" w:rsidR="0041347D" w:rsidRDefault="0041347D" w:rsidP="0041347D">
      <w:pPr>
        <w:pStyle w:val="Prrafodelista"/>
        <w:jc w:val="both"/>
      </w:pPr>
      <w:r>
        <w:t xml:space="preserve">b) En lo que refiere al indicador del Programa S278, este presentó un comportamiento por encima de la meta, debido a los cambios administrativos y a los retrasos en los nombramientos de los Secretarios Técnicos de los FOMIX </w:t>
      </w:r>
    </w:p>
    <w:p w14:paraId="79E01838" w14:textId="77777777" w:rsidR="0041347D" w:rsidRDefault="0041347D" w:rsidP="0041347D">
      <w:pPr>
        <w:pStyle w:val="Prrafodelista"/>
        <w:jc w:val="both"/>
      </w:pPr>
    </w:p>
    <w:p w14:paraId="19786B7B" w14:textId="75DAD355" w:rsidR="0041347D" w:rsidRDefault="0041347D" w:rsidP="0041347D">
      <w:pPr>
        <w:pStyle w:val="Prrafodelista"/>
        <w:jc w:val="both"/>
      </w:pPr>
      <w:r>
        <w:t xml:space="preserve">En ese sentido, se han rezagado las evaluaciones de algunos informes, por tanto, han surgido recalendarizaciones para los mismos, lo que ha impactado en los resultados de los indicadores. </w:t>
      </w:r>
    </w:p>
    <w:p w14:paraId="29234D7A" w14:textId="77777777" w:rsidR="0041347D" w:rsidRDefault="0041347D" w:rsidP="0041347D">
      <w:pPr>
        <w:pStyle w:val="Prrafodelista"/>
        <w:jc w:val="both"/>
      </w:pPr>
    </w:p>
    <w:p w14:paraId="3BC00894" w14:textId="17C652E2" w:rsidR="0041347D" w:rsidRDefault="0041347D" w:rsidP="0041347D">
      <w:pPr>
        <w:pStyle w:val="Prrafodelista"/>
        <w:jc w:val="both"/>
      </w:pPr>
      <w:r>
        <w:t>De manera específica, para el tercer trimestre se tenía contemplada una meta de 19 informes para evaluar, sin embargo, se recibieron 20 informes más</w:t>
      </w:r>
      <w:r w:rsidR="000578CD">
        <w:t>,</w:t>
      </w:r>
      <w:r>
        <w:t xml:space="preserve"> provenientes de las recalendarizaciones en los trimestres pasados. En lo que respecta a los proyectos enviados a evaluar</w:t>
      </w:r>
      <w:r w:rsidR="000578CD">
        <w:t>,</w:t>
      </w:r>
      <w:r>
        <w:t xml:space="preserve"> se tenía una meta de 25 informes</w:t>
      </w:r>
      <w:r w:rsidR="00A2293D">
        <w:t>,</w:t>
      </w:r>
      <w:bookmarkStart w:id="0" w:name="_GoBack"/>
      <w:bookmarkEnd w:id="0"/>
      <w:r>
        <w:t xml:space="preserve"> misma que se rebasó al enviar 15 informes más provenientes de las recalendarizaciones en los trimestres pasados. </w:t>
      </w:r>
    </w:p>
    <w:p w14:paraId="50CFB53F" w14:textId="77777777" w:rsidR="004A2B45" w:rsidRDefault="004A2B45" w:rsidP="004A2B45">
      <w:pPr>
        <w:pStyle w:val="Prrafodelista"/>
        <w:jc w:val="both"/>
      </w:pPr>
    </w:p>
    <w:p w14:paraId="4B690728" w14:textId="77777777" w:rsidR="004A2B45" w:rsidRDefault="004A2B45" w:rsidP="004A2B45">
      <w:pPr>
        <w:pStyle w:val="Prrafodelista"/>
      </w:pPr>
    </w:p>
    <w:p w14:paraId="3B1ECE9A" w14:textId="77777777" w:rsidR="002A1FF4" w:rsidRPr="004C64FF" w:rsidRDefault="002A1FF4" w:rsidP="004C64FF">
      <w:pPr>
        <w:rPr>
          <w:rFonts w:ascii="Arial" w:hAnsi="Arial"/>
        </w:rPr>
      </w:pPr>
    </w:p>
    <w:sectPr w:rsidR="002A1FF4" w:rsidRPr="004C64FF" w:rsidSect="00504D28">
      <w:headerReference w:type="default" r:id="rId10"/>
      <w:pgSz w:w="12240" w:h="15840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77182" w14:textId="77777777" w:rsidR="00CB575E" w:rsidRDefault="00CB575E" w:rsidP="005C6F62">
      <w:r>
        <w:separator/>
      </w:r>
    </w:p>
  </w:endnote>
  <w:endnote w:type="continuationSeparator" w:id="0">
    <w:p w14:paraId="2D0118F5" w14:textId="77777777" w:rsidR="00CB575E" w:rsidRDefault="00CB575E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7B125" w14:textId="77777777" w:rsidR="00CB575E" w:rsidRDefault="00CB575E" w:rsidP="005C6F62">
      <w:r>
        <w:separator/>
      </w:r>
    </w:p>
  </w:footnote>
  <w:footnote w:type="continuationSeparator" w:id="0">
    <w:p w14:paraId="66697DFF" w14:textId="77777777" w:rsidR="00CB575E" w:rsidRDefault="00CB575E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2995" w14:textId="0E0CCFA1" w:rsidR="005C6F62" w:rsidRDefault="003B277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C860219" wp14:editId="3F233398">
          <wp:simplePos x="0" y="0"/>
          <wp:positionH relativeFrom="column">
            <wp:posOffset>-915670</wp:posOffset>
          </wp:positionH>
          <wp:positionV relativeFrom="paragraph">
            <wp:posOffset>-480695</wp:posOffset>
          </wp:positionV>
          <wp:extent cx="7896094" cy="10085354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6094" cy="1008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57A"/>
    <w:multiLevelType w:val="hybridMultilevel"/>
    <w:tmpl w:val="520AB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B45"/>
    <w:multiLevelType w:val="hybridMultilevel"/>
    <w:tmpl w:val="9FD43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44164"/>
    <w:multiLevelType w:val="hybridMultilevel"/>
    <w:tmpl w:val="DBCA7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578CD"/>
    <w:rsid w:val="00075990"/>
    <w:rsid w:val="000F5462"/>
    <w:rsid w:val="00171450"/>
    <w:rsid w:val="0018280B"/>
    <w:rsid w:val="0018471F"/>
    <w:rsid w:val="00186EE5"/>
    <w:rsid w:val="001B7EE0"/>
    <w:rsid w:val="001E0A72"/>
    <w:rsid w:val="00247BEB"/>
    <w:rsid w:val="002A1FF4"/>
    <w:rsid w:val="002C42D6"/>
    <w:rsid w:val="002D2C06"/>
    <w:rsid w:val="002F0ACE"/>
    <w:rsid w:val="003067D8"/>
    <w:rsid w:val="00352B60"/>
    <w:rsid w:val="003B277E"/>
    <w:rsid w:val="0041347D"/>
    <w:rsid w:val="00441FB5"/>
    <w:rsid w:val="00486C7F"/>
    <w:rsid w:val="004A2B45"/>
    <w:rsid w:val="004C64FF"/>
    <w:rsid w:val="00504D28"/>
    <w:rsid w:val="005A6268"/>
    <w:rsid w:val="005C6F62"/>
    <w:rsid w:val="005F0366"/>
    <w:rsid w:val="0063494B"/>
    <w:rsid w:val="00653D2C"/>
    <w:rsid w:val="00673B76"/>
    <w:rsid w:val="0069291B"/>
    <w:rsid w:val="006D0505"/>
    <w:rsid w:val="006D68C7"/>
    <w:rsid w:val="006E3E2D"/>
    <w:rsid w:val="008A1D3D"/>
    <w:rsid w:val="0090066B"/>
    <w:rsid w:val="009409DA"/>
    <w:rsid w:val="00A00D9E"/>
    <w:rsid w:val="00A2293D"/>
    <w:rsid w:val="00A71BED"/>
    <w:rsid w:val="00A90328"/>
    <w:rsid w:val="00B0659B"/>
    <w:rsid w:val="00B16560"/>
    <w:rsid w:val="00C806D8"/>
    <w:rsid w:val="00C826A2"/>
    <w:rsid w:val="00C83E34"/>
    <w:rsid w:val="00CB575E"/>
    <w:rsid w:val="00D0789F"/>
    <w:rsid w:val="00D15D3A"/>
    <w:rsid w:val="00D43EB6"/>
    <w:rsid w:val="00E03D15"/>
    <w:rsid w:val="00E9134E"/>
    <w:rsid w:val="00F1112B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2D1D91"/>
  <w14:defaultImageDpi w14:val="300"/>
  <w15:docId w15:val="{6A171EBB-9B88-7A49-992A-BB191DB7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7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73BA63-617C-4F0B-98EF-705464B6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Juan Braulio Rivera Lomas</cp:lastModifiedBy>
  <cp:revision>166</cp:revision>
  <cp:lastPrinted>2018-12-10T18:18:00Z</cp:lastPrinted>
  <dcterms:created xsi:type="dcterms:W3CDTF">2018-12-11T20:36:00Z</dcterms:created>
  <dcterms:modified xsi:type="dcterms:W3CDTF">2019-10-21T18:57:00Z</dcterms:modified>
</cp:coreProperties>
</file>