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4146" w14:textId="77777777" w:rsidR="00124057" w:rsidRPr="00124057" w:rsidRDefault="00124057" w:rsidP="00124057">
      <w:pPr>
        <w:tabs>
          <w:tab w:val="left" w:pos="0"/>
          <w:tab w:val="left" w:pos="426"/>
        </w:tabs>
        <w:jc w:val="center"/>
        <w:rPr>
          <w:rFonts w:asciiTheme="majorHAnsi" w:eastAsiaTheme="minorHAnsi" w:hAnsiTheme="majorHAnsi" w:cstheme="majorHAnsi"/>
          <w:b/>
          <w:sz w:val="28"/>
          <w:szCs w:val="28"/>
          <w:lang w:val="es-MX" w:eastAsia="es-MX"/>
        </w:rPr>
      </w:pPr>
      <w:r w:rsidRPr="00124057">
        <w:rPr>
          <w:rFonts w:asciiTheme="majorHAnsi" w:eastAsiaTheme="minorHAnsi" w:hAnsiTheme="majorHAnsi" w:cstheme="majorHAnsi"/>
          <w:b/>
          <w:sz w:val="28"/>
          <w:szCs w:val="28"/>
          <w:lang w:val="es-MX" w:eastAsia="es-MX"/>
        </w:rPr>
        <w:t>INFORME DEL AVANCE DE METAS DE LAS MATRICES DE INDICADORES DE RESULTADOS DE LOS PROGRAMAS PRESUPUESTARIOS DE CONACYT</w:t>
      </w:r>
    </w:p>
    <w:p w14:paraId="03A40535" w14:textId="20C305D0" w:rsidR="00124057" w:rsidRPr="00124057" w:rsidRDefault="00125CD0" w:rsidP="00124057">
      <w:pPr>
        <w:tabs>
          <w:tab w:val="left" w:pos="0"/>
          <w:tab w:val="left" w:pos="426"/>
        </w:tabs>
        <w:jc w:val="center"/>
        <w:rPr>
          <w:rFonts w:asciiTheme="majorHAnsi" w:eastAsiaTheme="minorHAnsi" w:hAnsiTheme="majorHAnsi" w:cstheme="majorHAnsi"/>
          <w:b/>
          <w:i/>
          <w:szCs w:val="28"/>
          <w:lang w:val="es-MX" w:eastAsia="es-MX"/>
        </w:rPr>
      </w:pPr>
      <w:r>
        <w:rPr>
          <w:rFonts w:asciiTheme="majorHAnsi" w:eastAsiaTheme="minorHAnsi" w:hAnsiTheme="majorHAnsi" w:cstheme="majorHAnsi"/>
          <w:b/>
          <w:sz w:val="28"/>
          <w:szCs w:val="28"/>
          <w:lang w:val="es-MX" w:eastAsia="es-MX"/>
        </w:rPr>
        <w:t>AL PRIMER TRIMESTRE DE 2019.</w:t>
      </w:r>
    </w:p>
    <w:p w14:paraId="46686F96" w14:textId="77777777" w:rsidR="00124057" w:rsidRPr="00124057" w:rsidRDefault="00124057" w:rsidP="00124057">
      <w:pPr>
        <w:spacing w:before="120"/>
        <w:ind w:left="-426" w:right="-235"/>
        <w:jc w:val="right"/>
        <w:rPr>
          <w:rFonts w:asciiTheme="majorHAnsi" w:hAnsiTheme="majorHAnsi" w:cstheme="majorHAnsi"/>
          <w:sz w:val="14"/>
          <w:szCs w:val="14"/>
          <w:lang w:val="es-MX"/>
        </w:rPr>
      </w:pPr>
    </w:p>
    <w:p w14:paraId="2F8DA336"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En atención a la normatividad vigente en materia de monitoreo y evaluación, el Consejo Nacional de Ciencia y Tecnología (CONACYT) realiza reportes periódicos de los avances de indicadores estratégicos y de gestión, correspondientes a sus programas presupuestarios. Dichos reportes, se basan en la información contenida en las Matrices de Indicadores de Resultados (MIR) registradas en el Portal Aplicativo de la Secretaria de Hacienda (PASH).</w:t>
      </w:r>
    </w:p>
    <w:p w14:paraId="67BB20A9" w14:textId="13F258EF"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Considerando las características de la operación de los programas presupuestarios del CONACYT y la calendariz</w:t>
      </w:r>
      <w:r w:rsidR="00C17053">
        <w:rPr>
          <w:rFonts w:asciiTheme="majorHAnsi" w:eastAsia="Times New Roman" w:hAnsiTheme="majorHAnsi" w:cstheme="majorHAnsi"/>
          <w:color w:val="000000"/>
          <w:lang w:eastAsia="es-MX"/>
        </w:rPr>
        <w:t>ación de sus metas, en el primer trimestre de 2019</w:t>
      </w:r>
      <w:r w:rsidRPr="00124057">
        <w:rPr>
          <w:rFonts w:asciiTheme="majorHAnsi" w:eastAsia="Times New Roman" w:hAnsiTheme="majorHAnsi" w:cstheme="majorHAnsi"/>
          <w:color w:val="000000"/>
          <w:lang w:eastAsia="es-MX"/>
        </w:rPr>
        <w:t xml:space="preserve"> se reportaron avan</w:t>
      </w:r>
      <w:r w:rsidR="00C17053">
        <w:rPr>
          <w:rFonts w:asciiTheme="majorHAnsi" w:eastAsia="Times New Roman" w:hAnsiTheme="majorHAnsi" w:cstheme="majorHAnsi"/>
          <w:color w:val="000000"/>
          <w:lang w:eastAsia="es-MX"/>
        </w:rPr>
        <w:t>ces de 13</w:t>
      </w:r>
      <w:r w:rsidRPr="00124057">
        <w:rPr>
          <w:rFonts w:asciiTheme="majorHAnsi" w:eastAsia="Times New Roman" w:hAnsiTheme="majorHAnsi" w:cstheme="majorHAnsi"/>
          <w:color w:val="000000"/>
          <w:lang w:eastAsia="es-MX"/>
        </w:rPr>
        <w:t xml:space="preserve"> indicadores registrados. Dichos indicad</w:t>
      </w:r>
      <w:r w:rsidR="002F4A66">
        <w:rPr>
          <w:rFonts w:asciiTheme="majorHAnsi" w:eastAsia="Times New Roman" w:hAnsiTheme="majorHAnsi" w:cstheme="majorHAnsi"/>
          <w:color w:val="000000"/>
          <w:lang w:eastAsia="es-MX"/>
        </w:rPr>
        <w:t>ores corresponden a los cinco</w:t>
      </w:r>
      <w:r w:rsidR="00C17053">
        <w:rPr>
          <w:rFonts w:asciiTheme="majorHAnsi" w:eastAsia="Times New Roman" w:hAnsiTheme="majorHAnsi" w:cstheme="majorHAnsi"/>
          <w:color w:val="000000"/>
          <w:lang w:eastAsia="es-MX"/>
        </w:rPr>
        <w:t xml:space="preserve"> (5</w:t>
      </w:r>
      <w:r w:rsidRPr="00124057">
        <w:rPr>
          <w:rFonts w:asciiTheme="majorHAnsi" w:eastAsia="Times New Roman" w:hAnsiTheme="majorHAnsi" w:cstheme="majorHAnsi"/>
          <w:color w:val="000000"/>
          <w:lang w:eastAsia="es-MX"/>
        </w:rPr>
        <w:t>) programas presupuestarios que se enlistan en el Cuadro 1:</w:t>
      </w:r>
    </w:p>
    <w:p w14:paraId="10E0EFA1" w14:textId="72141E30" w:rsidR="00124057" w:rsidRPr="00124057" w:rsidRDefault="00124057" w:rsidP="00124057">
      <w:pPr>
        <w:spacing w:before="120" w:after="120"/>
        <w:jc w:val="center"/>
        <w:rPr>
          <w:rFonts w:asciiTheme="majorHAnsi" w:eastAsia="Times New Roman" w:hAnsiTheme="majorHAnsi" w:cstheme="majorHAnsi"/>
          <w:color w:val="000000"/>
          <w:lang w:eastAsia="es-MX"/>
        </w:rPr>
      </w:pPr>
      <w:r w:rsidRPr="00124057">
        <w:rPr>
          <w:rFonts w:asciiTheme="majorHAnsi" w:eastAsia="Times New Roman" w:hAnsiTheme="majorHAnsi" w:cstheme="majorHAnsi"/>
          <w:b/>
          <w:color w:val="000000"/>
          <w:lang w:eastAsia="es-MX"/>
        </w:rPr>
        <w:t xml:space="preserve">Cuadro 1. </w:t>
      </w:r>
      <w:r w:rsidRPr="00124057">
        <w:rPr>
          <w:rFonts w:asciiTheme="majorHAnsi" w:eastAsia="Times New Roman" w:hAnsiTheme="majorHAnsi" w:cstheme="majorHAnsi"/>
          <w:color w:val="000000"/>
          <w:lang w:eastAsia="es-MX"/>
        </w:rPr>
        <w:t xml:space="preserve">Programas presupuestarios con avances en sus indicadores reportados en el </w:t>
      </w:r>
      <w:r w:rsidR="00CE7E61">
        <w:rPr>
          <w:rFonts w:asciiTheme="majorHAnsi" w:eastAsia="Times New Roman" w:hAnsiTheme="majorHAnsi" w:cstheme="majorHAnsi"/>
          <w:color w:val="000000"/>
          <w:lang w:eastAsia="es-MX"/>
        </w:rPr>
        <w:t>primer</w:t>
      </w:r>
      <w:r w:rsidRPr="00124057">
        <w:rPr>
          <w:rFonts w:asciiTheme="majorHAnsi" w:eastAsia="Times New Roman" w:hAnsiTheme="majorHAnsi" w:cstheme="majorHAnsi"/>
          <w:color w:val="000000"/>
          <w:lang w:eastAsia="es-MX"/>
        </w:rPr>
        <w:t xml:space="preserve"> trimestre.</w:t>
      </w:r>
    </w:p>
    <w:tbl>
      <w:tblPr>
        <w:tblW w:w="5000" w:type="pct"/>
        <w:jc w:val="center"/>
        <w:tblCellMar>
          <w:left w:w="70" w:type="dxa"/>
          <w:right w:w="70" w:type="dxa"/>
        </w:tblCellMar>
        <w:tblLook w:val="04A0" w:firstRow="1" w:lastRow="0" w:firstColumn="1" w:lastColumn="0" w:noHBand="0" w:noVBand="1"/>
      </w:tblPr>
      <w:tblGrid>
        <w:gridCol w:w="2069"/>
        <w:gridCol w:w="5075"/>
        <w:gridCol w:w="2534"/>
      </w:tblGrid>
      <w:tr w:rsidR="00124057" w:rsidRPr="00124057" w14:paraId="2251270E" w14:textId="77777777" w:rsidTr="00C422E4">
        <w:trPr>
          <w:trHeight w:val="920"/>
          <w:jc w:val="center"/>
        </w:trPr>
        <w:tc>
          <w:tcPr>
            <w:tcW w:w="1069" w:type="pc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055AD1C" w14:textId="77777777" w:rsidR="00124057" w:rsidRPr="00124057" w:rsidRDefault="00124057" w:rsidP="00124057">
            <w:pPr>
              <w:jc w:val="center"/>
              <w:rPr>
                <w:rFonts w:asciiTheme="majorHAnsi" w:eastAsia="Times New Roman" w:hAnsiTheme="majorHAnsi" w:cstheme="majorHAnsi"/>
                <w:color w:val="FFFFFF"/>
                <w:sz w:val="20"/>
                <w:szCs w:val="20"/>
                <w:lang w:val="es-MX" w:eastAsia="es-MX"/>
              </w:rPr>
            </w:pPr>
            <w:r w:rsidRPr="00124057">
              <w:rPr>
                <w:rFonts w:asciiTheme="majorHAnsi" w:eastAsia="Times New Roman" w:hAnsiTheme="majorHAnsi" w:cstheme="majorHAnsi"/>
                <w:color w:val="FFFFFF"/>
                <w:sz w:val="20"/>
                <w:szCs w:val="20"/>
                <w:lang w:val="es-MX" w:eastAsia="es-MX"/>
              </w:rPr>
              <w:t>Programa Presupuestario</w:t>
            </w:r>
          </w:p>
        </w:tc>
        <w:tc>
          <w:tcPr>
            <w:tcW w:w="2622" w:type="pc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1DED8CD" w14:textId="77777777" w:rsidR="00124057" w:rsidRPr="00124057" w:rsidRDefault="00124057" w:rsidP="00124057">
            <w:pPr>
              <w:jc w:val="center"/>
              <w:rPr>
                <w:rFonts w:asciiTheme="majorHAnsi" w:eastAsia="Times New Roman" w:hAnsiTheme="majorHAnsi" w:cstheme="majorHAnsi"/>
                <w:color w:val="FFFFFF"/>
                <w:sz w:val="20"/>
                <w:szCs w:val="20"/>
                <w:lang w:val="es-MX" w:eastAsia="es-MX"/>
              </w:rPr>
            </w:pPr>
            <w:r w:rsidRPr="00124057">
              <w:rPr>
                <w:rFonts w:asciiTheme="majorHAnsi" w:eastAsia="Times New Roman" w:hAnsiTheme="majorHAnsi" w:cstheme="majorHAnsi"/>
                <w:color w:val="FFFFFF"/>
                <w:sz w:val="20"/>
                <w:szCs w:val="20"/>
                <w:lang w:val="es-MX" w:eastAsia="es-MX"/>
              </w:rPr>
              <w:t>Descripción</w:t>
            </w:r>
          </w:p>
        </w:tc>
        <w:tc>
          <w:tcPr>
            <w:tcW w:w="1309" w:type="pc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D2FEAD8" w14:textId="3D430D5E" w:rsidR="00124057" w:rsidRPr="00124057" w:rsidRDefault="00124057" w:rsidP="00124057">
            <w:pPr>
              <w:jc w:val="center"/>
              <w:rPr>
                <w:rFonts w:asciiTheme="majorHAnsi" w:eastAsia="Times New Roman" w:hAnsiTheme="majorHAnsi" w:cstheme="majorHAnsi"/>
                <w:color w:val="FFFFFF"/>
                <w:sz w:val="20"/>
                <w:szCs w:val="20"/>
                <w:lang w:val="es-MX" w:eastAsia="es-MX"/>
              </w:rPr>
            </w:pPr>
            <w:r w:rsidRPr="00124057">
              <w:rPr>
                <w:rFonts w:asciiTheme="majorHAnsi" w:eastAsia="Times New Roman" w:hAnsiTheme="majorHAnsi" w:cstheme="majorHAnsi"/>
                <w:color w:val="FFFFFF"/>
                <w:sz w:val="20"/>
                <w:szCs w:val="20"/>
                <w:lang w:val="es-MX" w:eastAsia="es-MX"/>
              </w:rPr>
              <w:t>Total de Indicadores con</w:t>
            </w:r>
            <w:r w:rsidR="002F4A66">
              <w:rPr>
                <w:rFonts w:asciiTheme="majorHAnsi" w:eastAsia="Times New Roman" w:hAnsiTheme="majorHAnsi" w:cstheme="majorHAnsi"/>
                <w:color w:val="FFFFFF"/>
                <w:sz w:val="20"/>
                <w:szCs w:val="20"/>
                <w:lang w:val="es-MX" w:eastAsia="es-MX"/>
              </w:rPr>
              <w:t xml:space="preserve"> avances reportados en el primer</w:t>
            </w:r>
            <w:r w:rsidRPr="00124057">
              <w:rPr>
                <w:rFonts w:asciiTheme="majorHAnsi" w:eastAsia="Times New Roman" w:hAnsiTheme="majorHAnsi" w:cstheme="majorHAnsi"/>
                <w:color w:val="FFFFFF"/>
                <w:sz w:val="20"/>
                <w:szCs w:val="20"/>
                <w:lang w:val="es-MX" w:eastAsia="es-MX"/>
              </w:rPr>
              <w:t xml:space="preserve"> trimestre</w:t>
            </w:r>
          </w:p>
        </w:tc>
      </w:tr>
      <w:tr w:rsidR="00124057" w:rsidRPr="00124057" w14:paraId="74200678"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B69C956"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F002</w:t>
            </w:r>
          </w:p>
        </w:tc>
        <w:tc>
          <w:tcPr>
            <w:tcW w:w="2622" w:type="pct"/>
            <w:tcBorders>
              <w:top w:val="single" w:sz="4" w:space="0" w:color="auto"/>
              <w:left w:val="nil"/>
              <w:bottom w:val="single" w:sz="4" w:space="0" w:color="auto"/>
              <w:right w:val="single" w:sz="4" w:space="0" w:color="auto"/>
            </w:tcBorders>
            <w:shd w:val="clear" w:color="auto" w:fill="auto"/>
            <w:vAlign w:val="center"/>
          </w:tcPr>
          <w:p w14:paraId="345DC202"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Apoyos para actividades científicas, tecnológicas y de innovación</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0BE8916F" w14:textId="33813DC3" w:rsidR="00124057" w:rsidRPr="00124057" w:rsidRDefault="00C17053"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1</w:t>
            </w:r>
          </w:p>
        </w:tc>
      </w:tr>
      <w:tr w:rsidR="00124057" w:rsidRPr="00124057" w14:paraId="1FA976D2"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91FFABB"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S190</w:t>
            </w:r>
          </w:p>
        </w:tc>
        <w:tc>
          <w:tcPr>
            <w:tcW w:w="2622" w:type="pct"/>
            <w:tcBorders>
              <w:top w:val="single" w:sz="4" w:space="0" w:color="auto"/>
              <w:left w:val="nil"/>
              <w:bottom w:val="single" w:sz="4" w:space="0" w:color="auto"/>
              <w:right w:val="single" w:sz="4" w:space="0" w:color="auto"/>
            </w:tcBorders>
            <w:shd w:val="clear" w:color="auto" w:fill="auto"/>
            <w:vAlign w:val="center"/>
          </w:tcPr>
          <w:p w14:paraId="0AE2CACD"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Becas de posgrado y apoyos a la calidad</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398ADF68" w14:textId="34B95838" w:rsidR="00124057" w:rsidRPr="00124057" w:rsidRDefault="00C17053"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5</w:t>
            </w:r>
          </w:p>
        </w:tc>
      </w:tr>
      <w:tr w:rsidR="00124057" w:rsidRPr="00124057" w14:paraId="2557F82C"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400831"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S191</w:t>
            </w:r>
          </w:p>
        </w:tc>
        <w:tc>
          <w:tcPr>
            <w:tcW w:w="2622" w:type="pct"/>
            <w:tcBorders>
              <w:top w:val="single" w:sz="4" w:space="0" w:color="auto"/>
              <w:left w:val="nil"/>
              <w:bottom w:val="single" w:sz="4" w:space="0" w:color="auto"/>
              <w:right w:val="single" w:sz="4" w:space="0" w:color="auto"/>
            </w:tcBorders>
            <w:shd w:val="clear" w:color="auto" w:fill="auto"/>
            <w:vAlign w:val="center"/>
          </w:tcPr>
          <w:p w14:paraId="0A871898"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Sistema Nacional de Investigadores</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7BC73C0F" w14:textId="53DCFF59" w:rsidR="00124057" w:rsidRPr="00124057" w:rsidRDefault="00C17053"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5</w:t>
            </w:r>
          </w:p>
        </w:tc>
      </w:tr>
      <w:tr w:rsidR="00124057" w:rsidRPr="00124057" w14:paraId="4237974D"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AD8790A"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S192</w:t>
            </w:r>
          </w:p>
        </w:tc>
        <w:tc>
          <w:tcPr>
            <w:tcW w:w="2622" w:type="pct"/>
            <w:tcBorders>
              <w:top w:val="single" w:sz="4" w:space="0" w:color="auto"/>
              <w:left w:val="nil"/>
              <w:bottom w:val="single" w:sz="4" w:space="0" w:color="auto"/>
              <w:right w:val="single" w:sz="4" w:space="0" w:color="auto"/>
            </w:tcBorders>
            <w:shd w:val="clear" w:color="auto" w:fill="auto"/>
            <w:vAlign w:val="center"/>
          </w:tcPr>
          <w:p w14:paraId="1DA8524C"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Fortalecimiento sectorial de las capacidades científicas, tecnológicas y de innovación</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5D69E308" w14:textId="1A1EDDE8" w:rsidR="00124057" w:rsidRPr="00124057" w:rsidRDefault="00C17053"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1</w:t>
            </w:r>
          </w:p>
        </w:tc>
      </w:tr>
      <w:tr w:rsidR="00124057" w:rsidRPr="00124057" w14:paraId="2F3B10C8"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A956769"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S278</w:t>
            </w:r>
          </w:p>
        </w:tc>
        <w:tc>
          <w:tcPr>
            <w:tcW w:w="2622" w:type="pct"/>
            <w:tcBorders>
              <w:top w:val="single" w:sz="4" w:space="0" w:color="auto"/>
              <w:left w:val="nil"/>
              <w:bottom w:val="single" w:sz="4" w:space="0" w:color="auto"/>
              <w:right w:val="single" w:sz="4" w:space="0" w:color="auto"/>
            </w:tcBorders>
            <w:shd w:val="clear" w:color="auto" w:fill="auto"/>
            <w:vAlign w:val="center"/>
          </w:tcPr>
          <w:p w14:paraId="60ACFE36"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Fomento regional de las capacidades científicas, tecnológicas y de innovación</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67A13A00" w14:textId="37D528DD" w:rsidR="00124057" w:rsidRPr="00124057" w:rsidRDefault="00C17053"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1</w:t>
            </w:r>
          </w:p>
        </w:tc>
      </w:tr>
      <w:tr w:rsidR="00124057" w:rsidRPr="00124057" w14:paraId="515CE07D" w14:textId="77777777" w:rsidTr="00C422E4">
        <w:trPr>
          <w:trHeight w:val="464"/>
          <w:jc w:val="center"/>
        </w:trPr>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C2DE7CC" w14:textId="77777777" w:rsidR="00124057" w:rsidRPr="00124057" w:rsidRDefault="00124057" w:rsidP="00124057">
            <w:pPr>
              <w:jc w:val="center"/>
              <w:rPr>
                <w:rFonts w:asciiTheme="majorHAnsi" w:hAnsiTheme="majorHAnsi" w:cstheme="majorHAnsi"/>
                <w:color w:val="000000"/>
                <w:sz w:val="20"/>
                <w:szCs w:val="20"/>
              </w:rPr>
            </w:pPr>
          </w:p>
        </w:tc>
        <w:tc>
          <w:tcPr>
            <w:tcW w:w="2622" w:type="pct"/>
            <w:tcBorders>
              <w:top w:val="single" w:sz="4" w:space="0" w:color="auto"/>
              <w:left w:val="nil"/>
              <w:bottom w:val="single" w:sz="4" w:space="0" w:color="auto"/>
              <w:right w:val="single" w:sz="4" w:space="0" w:color="auto"/>
            </w:tcBorders>
            <w:shd w:val="clear" w:color="auto" w:fill="auto"/>
            <w:vAlign w:val="center"/>
          </w:tcPr>
          <w:p w14:paraId="78223647" w14:textId="77777777" w:rsidR="00124057" w:rsidRPr="00124057" w:rsidRDefault="00124057" w:rsidP="00124057">
            <w:pPr>
              <w:jc w:val="center"/>
              <w:rPr>
                <w:rFonts w:asciiTheme="majorHAnsi" w:eastAsia="Times New Roman" w:hAnsiTheme="majorHAnsi" w:cstheme="majorHAnsi"/>
                <w:sz w:val="20"/>
                <w:szCs w:val="20"/>
                <w:lang w:val="es-MX" w:eastAsia="es-MX"/>
              </w:rPr>
            </w:pPr>
            <w:r w:rsidRPr="00124057">
              <w:rPr>
                <w:rFonts w:asciiTheme="majorHAnsi" w:eastAsia="Times New Roman" w:hAnsiTheme="majorHAnsi" w:cstheme="majorHAnsi"/>
                <w:sz w:val="20"/>
                <w:szCs w:val="20"/>
                <w:lang w:val="es-MX" w:eastAsia="es-MX"/>
              </w:rPr>
              <w:t>Total</w:t>
            </w:r>
          </w:p>
        </w:tc>
        <w:tc>
          <w:tcPr>
            <w:tcW w:w="1309" w:type="pct"/>
            <w:tcBorders>
              <w:top w:val="single" w:sz="4" w:space="0" w:color="auto"/>
              <w:left w:val="single" w:sz="4" w:space="0" w:color="auto"/>
              <w:bottom w:val="single" w:sz="4" w:space="0" w:color="auto"/>
              <w:right w:val="single" w:sz="4" w:space="0" w:color="auto"/>
            </w:tcBorders>
            <w:shd w:val="clear" w:color="auto" w:fill="auto"/>
            <w:vAlign w:val="center"/>
          </w:tcPr>
          <w:p w14:paraId="53893256" w14:textId="68A08B19" w:rsidR="00124057" w:rsidRPr="00124057" w:rsidRDefault="00ED13F0" w:rsidP="00124057">
            <w:pPr>
              <w:jc w:val="center"/>
              <w:rPr>
                <w:rFonts w:asciiTheme="majorHAnsi" w:eastAsia="Times New Roman" w:hAnsiTheme="majorHAnsi" w:cstheme="majorHAnsi"/>
                <w:sz w:val="20"/>
                <w:szCs w:val="20"/>
                <w:lang w:val="es-MX" w:eastAsia="es-MX"/>
              </w:rPr>
            </w:pPr>
            <w:r>
              <w:rPr>
                <w:rFonts w:asciiTheme="majorHAnsi" w:eastAsia="Times New Roman" w:hAnsiTheme="majorHAnsi" w:cstheme="majorHAnsi"/>
                <w:sz w:val="20"/>
                <w:szCs w:val="20"/>
                <w:lang w:val="es-MX" w:eastAsia="es-MX"/>
              </w:rPr>
              <w:t>13</w:t>
            </w:r>
          </w:p>
        </w:tc>
      </w:tr>
    </w:tbl>
    <w:p w14:paraId="731CEDAE" w14:textId="77777777" w:rsidR="00124057" w:rsidRPr="00124057" w:rsidRDefault="00124057" w:rsidP="00124057">
      <w:pPr>
        <w:spacing w:before="120" w:after="120"/>
        <w:jc w:val="both"/>
        <w:rPr>
          <w:rFonts w:asciiTheme="majorHAnsi" w:eastAsia="Times New Roman" w:hAnsiTheme="majorHAnsi" w:cstheme="majorHAnsi"/>
          <w:color w:val="000000"/>
          <w:sz w:val="20"/>
          <w:szCs w:val="20"/>
          <w:lang w:eastAsia="es-MX"/>
        </w:rPr>
      </w:pPr>
      <w:r w:rsidRPr="00124057">
        <w:rPr>
          <w:rFonts w:asciiTheme="majorHAnsi" w:eastAsia="Times New Roman" w:hAnsiTheme="majorHAnsi" w:cstheme="majorHAnsi"/>
          <w:color w:val="000000"/>
          <w:sz w:val="20"/>
          <w:szCs w:val="20"/>
          <w:lang w:eastAsia="es-MX"/>
        </w:rPr>
        <w:t>Fuente: Elaboración propia</w:t>
      </w:r>
    </w:p>
    <w:p w14:paraId="37D716FC"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p>
    <w:p w14:paraId="5199953E" w14:textId="2847B601"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Para poder dar seguimiento e identificar aquellos indicadores cuyo nivel de cumplimiento fue el adecuado</w:t>
      </w:r>
      <w:r>
        <w:rPr>
          <w:rFonts w:asciiTheme="majorHAnsi" w:eastAsia="Times New Roman" w:hAnsiTheme="majorHAnsi" w:cstheme="majorHAnsi"/>
          <w:color w:val="000000"/>
          <w:lang w:eastAsia="es-MX"/>
        </w:rPr>
        <w:t>,</w:t>
      </w:r>
      <w:r w:rsidRPr="00124057">
        <w:rPr>
          <w:rFonts w:asciiTheme="majorHAnsi" w:eastAsia="Times New Roman" w:hAnsiTheme="majorHAnsi" w:cstheme="majorHAnsi"/>
          <w:color w:val="000000"/>
          <w:lang w:eastAsia="es-MX"/>
        </w:rPr>
        <w:t xml:space="preserve"> se establecen los parámetros de semaforización, los cuales se encuentran definidos en las fichas técnicas de los indicadores. </w:t>
      </w:r>
    </w:p>
    <w:p w14:paraId="5A76B992" w14:textId="0E7913D1"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b/>
          <w:color w:val="000000"/>
          <w:lang w:eastAsia="es-MX"/>
        </w:rPr>
        <w:t>Cuadro 2.</w:t>
      </w:r>
      <w:r w:rsidRPr="00124057">
        <w:rPr>
          <w:rFonts w:asciiTheme="majorHAnsi" w:eastAsia="Times New Roman" w:hAnsiTheme="majorHAnsi" w:cstheme="majorHAnsi"/>
          <w:color w:val="000000"/>
          <w:lang w:eastAsia="es-MX"/>
        </w:rPr>
        <w:t xml:space="preserve"> Umbrales de semaforización</w:t>
      </w:r>
    </w:p>
    <w:tbl>
      <w:tblP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1"/>
        <w:gridCol w:w="1321"/>
      </w:tblGrid>
      <w:tr w:rsidR="00124057" w:rsidRPr="00124057" w14:paraId="46361554" w14:textId="77777777" w:rsidTr="00C422E4">
        <w:trPr>
          <w:trHeight w:val="240"/>
        </w:trPr>
        <w:tc>
          <w:tcPr>
            <w:tcW w:w="1651" w:type="dxa"/>
            <w:shd w:val="clear" w:color="auto" w:fill="auto"/>
            <w:noWrap/>
            <w:vAlign w:val="bottom"/>
            <w:hideMark/>
          </w:tcPr>
          <w:p w14:paraId="17B9EBE9"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Calibri" w:eastAsia="Times New Roman" w:hAnsi="Calibri" w:cs="Calibri"/>
                <w:b/>
                <w:bCs/>
                <w:color w:val="000000"/>
                <w:sz w:val="18"/>
                <w:szCs w:val="18"/>
                <w:lang w:val="es-ES"/>
              </w:rPr>
              <w:t xml:space="preserve">Umbral </w:t>
            </w:r>
          </w:p>
        </w:tc>
        <w:tc>
          <w:tcPr>
            <w:tcW w:w="1321" w:type="dxa"/>
            <w:shd w:val="clear" w:color="auto" w:fill="auto"/>
            <w:noWrap/>
            <w:vAlign w:val="bottom"/>
            <w:hideMark/>
          </w:tcPr>
          <w:p w14:paraId="529C0343" w14:textId="77777777" w:rsidR="00124057" w:rsidRPr="00124057" w:rsidRDefault="00124057" w:rsidP="00124057">
            <w:pPr>
              <w:rPr>
                <w:rFonts w:ascii="Calibri" w:eastAsia="Times New Roman" w:hAnsi="Calibri" w:cs="Calibri"/>
                <w:b/>
                <w:bCs/>
                <w:color w:val="000000"/>
                <w:sz w:val="18"/>
                <w:szCs w:val="18"/>
                <w:lang w:val="es-ES"/>
              </w:rPr>
            </w:pPr>
            <w:r w:rsidRPr="00124057">
              <w:rPr>
                <w:rFonts w:ascii="Calibri" w:eastAsia="Times New Roman" w:hAnsi="Calibri" w:cs="Calibri"/>
                <w:b/>
                <w:bCs/>
                <w:color w:val="000000"/>
                <w:sz w:val="18"/>
                <w:szCs w:val="18"/>
                <w:lang w:val="es-ES"/>
              </w:rPr>
              <w:t>Valor</w:t>
            </w:r>
          </w:p>
        </w:tc>
      </w:tr>
      <w:tr w:rsidR="00124057" w:rsidRPr="00124057" w14:paraId="0F6A6A44" w14:textId="77777777" w:rsidTr="00C422E4">
        <w:trPr>
          <w:trHeight w:val="421"/>
        </w:trPr>
        <w:tc>
          <w:tcPr>
            <w:tcW w:w="1651" w:type="dxa"/>
            <w:shd w:val="clear" w:color="auto" w:fill="auto"/>
            <w:noWrap/>
            <w:vAlign w:val="center"/>
            <w:hideMark/>
          </w:tcPr>
          <w:p w14:paraId="23DD1840"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Verde - Amarillo</w:t>
            </w:r>
          </w:p>
        </w:tc>
        <w:tc>
          <w:tcPr>
            <w:tcW w:w="1321" w:type="dxa"/>
            <w:shd w:val="clear" w:color="auto" w:fill="auto"/>
            <w:noWrap/>
            <w:vAlign w:val="center"/>
            <w:hideMark/>
          </w:tcPr>
          <w:p w14:paraId="73F815D4"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 xml:space="preserve"> (+- 15%)</w:t>
            </w:r>
          </w:p>
        </w:tc>
      </w:tr>
      <w:tr w:rsidR="00124057" w:rsidRPr="00124057" w14:paraId="43A44F89" w14:textId="77777777" w:rsidTr="00C422E4">
        <w:trPr>
          <w:trHeight w:val="393"/>
        </w:trPr>
        <w:tc>
          <w:tcPr>
            <w:tcW w:w="1651" w:type="dxa"/>
            <w:shd w:val="clear" w:color="auto" w:fill="auto"/>
            <w:noWrap/>
            <w:vAlign w:val="center"/>
            <w:hideMark/>
          </w:tcPr>
          <w:p w14:paraId="007B7D1C"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Amarillo - Rojo</w:t>
            </w:r>
          </w:p>
        </w:tc>
        <w:tc>
          <w:tcPr>
            <w:tcW w:w="1321" w:type="dxa"/>
            <w:shd w:val="clear" w:color="auto" w:fill="auto"/>
            <w:noWrap/>
            <w:vAlign w:val="center"/>
            <w:hideMark/>
          </w:tcPr>
          <w:p w14:paraId="1C7B5CD0"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 xml:space="preserve"> (+- 25%) </w:t>
            </w:r>
          </w:p>
        </w:tc>
      </w:tr>
    </w:tbl>
    <w:p w14:paraId="395A5D3E" w14:textId="1DA92658"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lastRenderedPageBreak/>
        <w:t>Los parámetros de semaforización indican si el comportamiento del indicador es el adecuado en términos del rango que se esperaba alcanzar respecto de la meta programada. Para calcular el porcentaje de cumplimiento de las metas de cada programa, se genera un cociente entre la diferencia de la meta alcanzada y la programada, con respecto a la meta planeada para el trimestre</w:t>
      </w:r>
      <w:r w:rsidR="00D042DC">
        <w:rPr>
          <w:rFonts w:asciiTheme="majorHAnsi" w:eastAsia="Times New Roman" w:hAnsiTheme="majorHAnsi" w:cstheme="majorHAnsi"/>
          <w:color w:val="000000"/>
          <w:lang w:eastAsia="es-MX"/>
        </w:rPr>
        <w:t>,</w:t>
      </w:r>
      <w:r w:rsidRPr="00124057">
        <w:rPr>
          <w:rFonts w:asciiTheme="majorHAnsi" w:eastAsia="Times New Roman" w:hAnsiTheme="majorHAnsi" w:cstheme="majorHAnsi"/>
          <w:color w:val="000000"/>
          <w:lang w:eastAsia="es-MX"/>
        </w:rPr>
        <w:t xml:space="preserve"> semestre </w:t>
      </w:r>
      <w:r w:rsidR="00D042DC">
        <w:rPr>
          <w:rFonts w:asciiTheme="majorHAnsi" w:eastAsia="Times New Roman" w:hAnsiTheme="majorHAnsi" w:cstheme="majorHAnsi"/>
          <w:color w:val="000000"/>
          <w:lang w:eastAsia="es-MX"/>
        </w:rPr>
        <w:t xml:space="preserve">o año </w:t>
      </w:r>
      <w:r w:rsidRPr="00124057">
        <w:rPr>
          <w:rFonts w:asciiTheme="majorHAnsi" w:eastAsia="Times New Roman" w:hAnsiTheme="majorHAnsi" w:cstheme="majorHAnsi"/>
          <w:color w:val="000000"/>
          <w:lang w:eastAsia="es-MX"/>
        </w:rPr>
        <w:t xml:space="preserve">correspondiente, multiplicado por 100 a fin de expresarse como porcentaje. </w:t>
      </w:r>
    </w:p>
    <w:p w14:paraId="5AB7F42E"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Mediante los parámetros de semaforización se indica cuando el comportamiento del indicador es:</w:t>
      </w:r>
    </w:p>
    <w:p w14:paraId="5E1F6EB0"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 xml:space="preserve">• Aceptable (verde): el valor alcanzado del indicador se encuentra en un rango por encima o por debajo de la meta programada, pero se mantiene dentro del rango establecido. </w:t>
      </w:r>
    </w:p>
    <w:p w14:paraId="76E637F1" w14:textId="77777777"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 xml:space="preserve">• Con riesgo (amarillo): el valor alcanzado del indicador es mayor o menor que la meta programada, pero se mantiene dentro del rango establecido. </w:t>
      </w:r>
    </w:p>
    <w:p w14:paraId="1E4A1148" w14:textId="531347BC" w:rsidR="00124057" w:rsidRP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 Crítico (rojo): el valor alcanzado del indicador está muy por debajo de la meta programada o supera tanto la meta programada que se puede considerar como una falla de planeación (es decir la meta no fue bien establecida); de conformidad con los rangos establecidos.</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1"/>
        <w:gridCol w:w="6853"/>
      </w:tblGrid>
      <w:tr w:rsidR="00124057" w:rsidRPr="00124057" w14:paraId="40EB8B21" w14:textId="77777777" w:rsidTr="00C422E4">
        <w:trPr>
          <w:trHeight w:val="240"/>
        </w:trPr>
        <w:tc>
          <w:tcPr>
            <w:tcW w:w="1651" w:type="dxa"/>
            <w:shd w:val="clear" w:color="auto" w:fill="auto"/>
            <w:noWrap/>
            <w:vAlign w:val="bottom"/>
            <w:hideMark/>
          </w:tcPr>
          <w:p w14:paraId="1A85A889"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Calibri" w:eastAsia="Times New Roman" w:hAnsi="Calibri" w:cs="Calibri"/>
                <w:b/>
                <w:bCs/>
                <w:color w:val="000000"/>
                <w:sz w:val="18"/>
                <w:szCs w:val="18"/>
                <w:lang w:val="es-ES"/>
              </w:rPr>
              <w:t>Semáforo</w:t>
            </w:r>
          </w:p>
        </w:tc>
        <w:tc>
          <w:tcPr>
            <w:tcW w:w="6853" w:type="dxa"/>
            <w:shd w:val="clear" w:color="auto" w:fill="auto"/>
            <w:noWrap/>
            <w:vAlign w:val="bottom"/>
            <w:hideMark/>
          </w:tcPr>
          <w:p w14:paraId="149F5E26" w14:textId="77777777" w:rsidR="00124057" w:rsidRPr="00124057" w:rsidRDefault="00124057" w:rsidP="00124057">
            <w:pPr>
              <w:rPr>
                <w:rFonts w:ascii="Calibri" w:eastAsia="Times New Roman" w:hAnsi="Calibri" w:cs="Calibri"/>
                <w:b/>
                <w:bCs/>
                <w:color w:val="000000"/>
                <w:sz w:val="18"/>
                <w:szCs w:val="18"/>
                <w:lang w:val="es-ES"/>
              </w:rPr>
            </w:pPr>
            <w:r w:rsidRPr="00124057">
              <w:rPr>
                <w:rFonts w:ascii="Calibri" w:eastAsia="Times New Roman" w:hAnsi="Calibri" w:cs="Calibri"/>
                <w:b/>
                <w:bCs/>
                <w:color w:val="000000"/>
                <w:sz w:val="18"/>
                <w:szCs w:val="18"/>
                <w:lang w:val="es-ES"/>
              </w:rPr>
              <w:t>Parámetro de Semaforización</w:t>
            </w:r>
          </w:p>
        </w:tc>
      </w:tr>
      <w:tr w:rsidR="00124057" w:rsidRPr="00124057" w14:paraId="4556939A" w14:textId="77777777" w:rsidTr="00C422E4">
        <w:trPr>
          <w:trHeight w:val="421"/>
        </w:trPr>
        <w:tc>
          <w:tcPr>
            <w:tcW w:w="1651" w:type="dxa"/>
            <w:shd w:val="clear" w:color="auto" w:fill="auto"/>
            <w:noWrap/>
            <w:vAlign w:val="center"/>
            <w:hideMark/>
          </w:tcPr>
          <w:p w14:paraId="27455B17"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1312" behindDoc="0" locked="0" layoutInCell="1" allowOverlap="1" wp14:anchorId="67C2E852" wp14:editId="3B577D9D">
                      <wp:simplePos x="0" y="0"/>
                      <wp:positionH relativeFrom="column">
                        <wp:posOffset>329565</wp:posOffset>
                      </wp:positionH>
                      <wp:positionV relativeFrom="paragraph">
                        <wp:posOffset>45085</wp:posOffset>
                      </wp:positionV>
                      <wp:extent cx="179705" cy="179705"/>
                      <wp:effectExtent l="57150" t="19050" r="10795" b="86995"/>
                      <wp:wrapNone/>
                      <wp:docPr id="4" name="Elipse 4"/>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412E0" id="Elipse 4" o:spid="_x0000_s1026" style="position:absolute;margin-left:25.95pt;margin-top:3.5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uvgIAAK8FAAAOAAAAZHJzL2Uyb0RvYy54bWysVE1v2zAMvQ/YfxB0X+2kydoEdYq0WYYB&#10;XVssHXpmZDkWIEuapNTpfv1I2WmTrbsMu9ikSPHj8YkXl7tGsyfpg7Km4IOTnDNphC2V2RT8+8Py&#10;wzlnIYIpQVsjC/4sA7+cvX930bqpHNra6lJ6hkFMmLau4HWMbpplQdSygXBinTRorKxvIKLqN1np&#10;ocXojc6Gef4xa60vnbdChoCni87IZyl+VUkR76oqyMh0wbG2mL4+fdf0zWYXMN14cLUSfRnwD1U0&#10;oAwmfQm1gAhs69UfoRolvA22iifCNpmtKiVk6gG7GeS/dbOqwcnUC4IT3AtM4f+FFbdP956psuAj&#10;zgw0OKJPWrkg2YiwaV2YosvK3fteCyhSo7vKN/THFtgu4fn8gqfcRSbwcHA2OcvHnAk09TJGyV4v&#10;Ox/iZ2kbRkLBpU6pE5DwdBNi5733onTBalUuldZJ8Zv1tfbsCWi6+VU+TgPFBEdu2rC24JPxkEoB&#10;JFmlIaLYOGw7mA1noDfIXhF9Sn10ORzmGC3PB1eLzqmGUnaZJ+M875kUIH61ZXc8wHK6cyqoC5O6&#10;P4pPzS0g1N2dZCLg8Yo21KNMJEYsEtjbKP2qLlu21lv/DWhsmAOJXSoCcHjaK8jwcbKgydv4qGKd&#10;yEQjegO5FIPOQbsaulJO/1K93deQijwoLyOydPQgaW3LZ6QWZqekLDixVNjrDYR4Dx4fGR7i4oh3&#10;+Km0xQnZXuKstv7nW+fkj9xHK2ctPloc348teMmZ/mLwVUwGoxGGjUkZjc+G1P6hZX1oMdvm2iJz&#10;Bqm6JJJ/1Hux8rZ5xP0yp6xoAiMwd0eUXrmO3TLBDSXkfJ7c8GU7iDdm5QQFJ1xpyg+7R/Cup3rE&#10;N3Jr9w8cgT+me+dLN42db6OtVHoLr7gi+KTgVkhj6DcYrZ1DPXm97tnZLwAAAP//AwBQSwMEFAAG&#10;AAgAAAAhAFT1KI7cAAAABgEAAA8AAABkcnMvZG93bnJldi54bWxMjr1OwzAUhXck3sG6SCyIOikE&#10;TIhTIRCoAwykDIxuckmixtfBdtr07blMMB6dv69YzXYQe/Shd6QhXSQgkGrX9NRq+Ng8XyoQIRpq&#10;zOAINRwxwKo8PSlM3rgDveO+iq3gEQq50dDFOOZShrpDa8LCjUjsfTlvTWTpW9l4c+BxO8hlktxI&#10;a3rih86M+NhhvasmyxjmYlf57+x1/fk2vSilNkcXnrQ+P5sf7kFEnONfGH7xuQMlM23dRE0Qg4Ys&#10;veOkhtsUBNsqWYLYarjKrkGWhfyPX/4AAAD//wMAUEsBAi0AFAAGAAgAAAAhALaDOJL+AAAA4QEA&#10;ABMAAAAAAAAAAAAAAAAAAAAAAFtDb250ZW50X1R5cGVzXS54bWxQSwECLQAUAAYACAAAACEAOP0h&#10;/9YAAACUAQAACwAAAAAAAAAAAAAAAAAvAQAAX3JlbHMvLnJlbHNQSwECLQAUAAYACAAAACEAnFt/&#10;rr4CAACvBQAADgAAAAAAAAAAAAAAAAAuAgAAZHJzL2Uyb0RvYy54bWxQSwECLQAUAAYACAAAACEA&#10;VPUojtwAAAAGAQAADwAAAAAAAAAAAAAAAAAYBQAAZHJzL2Rvd25yZXYueG1sUEsFBgAAAAAEAAQA&#10;8wAAACEGAAAAAA==&#10;" fillcolor="#00b050" strokecolor="#4a7ebb">
                      <v:shadow on="t" color="black" opacity="22937f" origin=",.5" offset="0,.63889mm"/>
                    </v:oval>
                  </w:pict>
                </mc:Fallback>
              </mc:AlternateContent>
            </w:r>
          </w:p>
        </w:tc>
        <w:tc>
          <w:tcPr>
            <w:tcW w:w="6853" w:type="dxa"/>
            <w:shd w:val="clear" w:color="auto" w:fill="auto"/>
            <w:noWrap/>
            <w:vAlign w:val="center"/>
            <w:hideMark/>
          </w:tcPr>
          <w:p w14:paraId="2AC43CA0"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Aceptable: Porcentaje de cumplimiento del indicador entre el umbral  verde-amarillo (+- 15%)</w:t>
            </w:r>
          </w:p>
        </w:tc>
      </w:tr>
      <w:tr w:rsidR="00124057" w:rsidRPr="00124057" w14:paraId="2A3CA1F8" w14:textId="77777777" w:rsidTr="00C422E4">
        <w:trPr>
          <w:trHeight w:val="240"/>
        </w:trPr>
        <w:tc>
          <w:tcPr>
            <w:tcW w:w="1651" w:type="dxa"/>
            <w:shd w:val="clear" w:color="auto" w:fill="auto"/>
            <w:noWrap/>
            <w:vAlign w:val="center"/>
            <w:hideMark/>
          </w:tcPr>
          <w:p w14:paraId="25694DBE" w14:textId="77777777" w:rsidR="00124057" w:rsidRPr="00124057" w:rsidRDefault="00124057" w:rsidP="00124057">
            <w:pPr>
              <w:jc w:val="center"/>
              <w:rPr>
                <w:rFonts w:ascii="Calibri" w:eastAsia="Times New Roman" w:hAnsi="Calibri" w:cs="Calibri"/>
                <w:color w:val="000000"/>
                <w:sz w:val="18"/>
                <w:szCs w:val="18"/>
                <w:lang w:val="es-ES"/>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0288" behindDoc="0" locked="0" layoutInCell="1" allowOverlap="1" wp14:anchorId="267AB220" wp14:editId="4C10310B">
                      <wp:simplePos x="0" y="0"/>
                      <wp:positionH relativeFrom="column">
                        <wp:posOffset>317500</wp:posOffset>
                      </wp:positionH>
                      <wp:positionV relativeFrom="paragraph">
                        <wp:posOffset>48895</wp:posOffset>
                      </wp:positionV>
                      <wp:extent cx="179705" cy="179705"/>
                      <wp:effectExtent l="57150" t="19050" r="10795" b="86995"/>
                      <wp:wrapNone/>
                      <wp:docPr id="3" name="Elipse 3"/>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FF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76FD2" id="Elipse 3" o:spid="_x0000_s1026" style="position:absolute;margin-left:25pt;margin-top:3.8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NZwAIAAK8FAAAOAAAAZHJzL2Uyb0RvYy54bWysVEtv2zAMvg/YfxB0X+281iaoU2TNMgzo&#10;2mLp0DMjy7EAWdIkpU7360fKTpvscRmWg0OKFB+fPvLyat9o9iR9UNYUfHCWcyaNsKUy24J/e1i9&#10;u+AsRDAlaGtkwZ9l4Ffzt28uWzeTQ1tbXUrPMIgJs9YVvI7RzbIsiFo2EM6skwaNlfUNRFT9Nis9&#10;tBi90dkwz99nrfWl81bIEPB02Rn5PMWvKiniXVUFGZkuONYW09en74a+2fwSZlsPrlaiLwP+oYoG&#10;lMGkL6GWEIHtvPotVKOEt8FW8UzYJrNVpYRMPWA3g/yXbtY1OJl6QXCCe4Ep/L+w4vbp3jNVFnzE&#10;mYEGn+ijVi5INiJsWhdm6LJ2977XAorU6L7yDf1jC2yf8Hx+wVPuIxN4ODifnucTzgSaehmjZK+X&#10;nQ/xk7QNI6HgUqfUCUh4ugmx8z54UbpgtSpXSuuk+O3mWnv2BPi6K/zl6UExwYmbNqwt+HQypFIA&#10;SVZpiCg2DtsOZssZ6C2yV0SfUp9cDsc5xquLwYdl51RDKbvM00neJca8EL/Ysjse5IdzKqgLk7o/&#10;iU/NLSHU3Z1kIuDxijbUo0wkRiwS2Lso/bouW7bRO/8VsP4x5kZil4oAHI56BRk+SRY0eRsfVawT&#10;meiJfkOOImAMOgftauhKGf2lenuoIRV5VF5GZOnoQdLGls9ILcye2BGcWCns9QZCvAePQ4al4eKI&#10;d/iptMUXsr3EWW39jz+dkz9yH62ctTi0+Hzfd+AlZ/qzwamYDsZjmvKkjCfnQ2r/2LI5tphdc22R&#10;OQNcUU4kkfyjPoiVt80j7pcFZUUTGIG5O6L0ynXslgluKCEXi+SGk+0g3pi1ExSccKVXftg/gnc9&#10;1SPOyK09DDgCf0r3zpduGrvYRVupNAuvuCL4pOBWSM/QbzBaO8d68nrds/OfAAAA//8DAFBLAwQU&#10;AAYACAAAACEAprhDAdsAAAAGAQAADwAAAGRycy9kb3ducmV2LnhtbEyPzU7DMBCE70i8g7VI3KgN&#10;VZsSsqlQRS/c2iLOTrz5ofE6st00vD3mBMfRjGa+KbazHcREPvSOER4XCgRx7UzPLcLHaf+wARGi&#10;ZqMHx4TwTQG25e1NoXPjrnyg6RhbkUo45Bqhi3HMpQx1R1aHhRuJk9c4b3VM0rfSeH1N5XaQT0qt&#10;pdU9p4VOj7TrqD4fLxbhoP3zZL/qt1Wosvfpc9/sxnODeH83v76AiDTHvzD84id0KBNT5S5sghgQ&#10;VipdiQhZBiLZ2WYJokJYrhXIspD/8csfAAAA//8DAFBLAQItABQABgAIAAAAIQC2gziS/gAAAOEB&#10;AAATAAAAAAAAAAAAAAAAAAAAAABbQ29udGVudF9UeXBlc10ueG1sUEsBAi0AFAAGAAgAAAAhADj9&#10;If/WAAAAlAEAAAsAAAAAAAAAAAAAAAAALwEAAF9yZWxzLy5yZWxzUEsBAi0AFAAGAAgAAAAhAMBe&#10;81nAAgAArwUAAA4AAAAAAAAAAAAAAAAALgIAAGRycy9lMm9Eb2MueG1sUEsBAi0AFAAGAAgAAAAh&#10;AKa4QwHbAAAABgEAAA8AAAAAAAAAAAAAAAAAGgUAAGRycy9kb3ducmV2LnhtbFBLBQYAAAAABAAE&#10;APMAAAAiBgAAAAA=&#10;" fillcolor="yellow" strokecolor="#4a7ebb">
                      <v:shadow on="t" color="black" opacity="22937f" origin=",.5" offset="0,.63889mm"/>
                    </v:oval>
                  </w:pict>
                </mc:Fallback>
              </mc:AlternateContent>
            </w:r>
          </w:p>
        </w:tc>
        <w:tc>
          <w:tcPr>
            <w:tcW w:w="6853" w:type="dxa"/>
            <w:shd w:val="clear" w:color="auto" w:fill="auto"/>
            <w:noWrap/>
            <w:vAlign w:val="center"/>
            <w:hideMark/>
          </w:tcPr>
          <w:p w14:paraId="53D840D9"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Con riesgo :Porcentaje de cumplimiento del indicador entre el umbral verde-amarillo (+- 15%) y el umbral amarillo-rojo (+-25%)</w:t>
            </w:r>
          </w:p>
        </w:tc>
      </w:tr>
      <w:tr w:rsidR="00124057" w:rsidRPr="00124057" w14:paraId="6E347DF4" w14:textId="77777777" w:rsidTr="00C422E4">
        <w:trPr>
          <w:trHeight w:val="391"/>
        </w:trPr>
        <w:tc>
          <w:tcPr>
            <w:tcW w:w="1651" w:type="dxa"/>
            <w:shd w:val="clear" w:color="auto" w:fill="auto"/>
            <w:noWrap/>
            <w:vAlign w:val="center"/>
          </w:tcPr>
          <w:p w14:paraId="731E7877" w14:textId="77777777" w:rsidR="00124057" w:rsidRPr="00124057" w:rsidRDefault="00124057" w:rsidP="00124057">
            <w:pPr>
              <w:jc w:val="center"/>
              <w:rPr>
                <w:rFonts w:asciiTheme="majorHAnsi" w:eastAsia="Times New Roman" w:hAnsiTheme="majorHAnsi" w:cstheme="majorHAnsi"/>
                <w:noProof/>
                <w:color w:val="000000"/>
                <w:lang w:val="es-ES"/>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59264" behindDoc="0" locked="0" layoutInCell="1" allowOverlap="1" wp14:anchorId="24364E69" wp14:editId="526ADCB3">
                      <wp:simplePos x="0" y="0"/>
                      <wp:positionH relativeFrom="column">
                        <wp:posOffset>304165</wp:posOffset>
                      </wp:positionH>
                      <wp:positionV relativeFrom="paragraph">
                        <wp:posOffset>24130</wp:posOffset>
                      </wp:positionV>
                      <wp:extent cx="179705" cy="179705"/>
                      <wp:effectExtent l="57150" t="19050" r="10795" b="86995"/>
                      <wp:wrapNone/>
                      <wp:docPr id="2" name="Elipse 2"/>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19B8E" id="Elipse 2" o:spid="_x0000_s1026" style="position:absolute;margin-left:23.95pt;margin-top:1.9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aCvgIAAK8FAAAOAAAAZHJzL2Uyb0RvYy54bWysVMFu2zAMvQ/YPwi6r47TZG2COkXWLMOA&#10;ri2WDj0zshwLkCVNUuK0Xz9Sdtp03S7DcnBIkSIfn0heXO4bzXbSB2VNwfOTAWfSCFsqsyn4j/vl&#10;h3POQgRTgrZGFvxRBn45e//uonVTObS11aX0DIOYMG1dwesY3TTLgqhlA+HEOmnQWFnfQETVb7LS&#10;Q4vRG50NB4OPWWt96bwVMgQ8XXRGPkvxq0qKeFtVQUamC47YYvr69F3TN5tdwHTjwdVK9DDgH1A0&#10;oAwmfQ61gAhs69WbUI0S3gZbxRNhm8xWlRIy1YDV5IPfqlnV4GSqBckJ7pmm8P/CipvdnWeqLPiQ&#10;MwMNPtFnrVyQbEjctC5M0WXl7nyvBRSp0H3lG/rHEtg+8fn4zKfcRybwMD+bnA3GnAk09TJGyV4u&#10;Ox/iF2kbRkLBpU6pE5Gwuw6x8z54UbpgtSqXSuuk+M36Snu2A3zd5XKAPwKNCV65acPagk/GQ4IC&#10;2GSVhohi47DsYDacgd5g94roU+pXl8NxjtHyPP+06JxqKGWXeTLuE2NeiN9s2R3ng8M5AerCvAVH&#10;xS0g1N2dlLqvQRuqUaYmRi4S2dso/aouW7bWW/8dEP8oVc1KRQQOTwkJKtjh42RBzdv4oGKdmome&#10;6A1zFAGv0TloV0MH5fQv6O0BQ6rlCF5GzdK1B0lrWz5ia2H21B3BiaXCWq8hxDvwOGQIDRdHvMVP&#10;pS2+kO0lzmrrn/50Tv7Y+2jlrMWhxef7uQUvOdNfDU7FJB+NaMqTMhqfDan8Y8v62GK2zZXFzslx&#10;RTmRRPKP+iBW3jYPuF/mlBVNYATm7hqlV65it0xwQwk5nyc3nGwH8dqsnKDgxCu98v3+AbzrWz3i&#10;jNzYw4Aj8a/bvfOlm8bOt9FWKs3CC69IPim4FdIz9BuM1s6xnrxe9uzsFwAAAP//AwBQSwMEFAAG&#10;AAgAAAAhAJqi5kzcAAAABgEAAA8AAABkcnMvZG93bnJldi54bWxMj8FOwzAQRO9I/IO1SFwQdZpC&#10;S0OcCiHg3JYKwc2NlzgiXke22wS+vssJjqMZzbwpV6PrxBFDbD0pmE4yEEi1Ny01Cnavz9d3IGLS&#10;ZHTnCRV8Y4RVdX5W6sL4gTZ43KZGcAnFQiuwKfWFlLG26HSc+B6JvU8fnE4sQyNN0AOXu07mWTaX&#10;TrfEC1b3+Gix/toenAKfb55Meg8/drj9eLvavazlcrZW6vJifLgHkXBMf2H4xWd0qJhp7w9kougU&#10;3CyWnFQw4wNsL+Y5iD3LfAqyKuV//OoEAAD//wMAUEsBAi0AFAAGAAgAAAAhALaDOJL+AAAA4QEA&#10;ABMAAAAAAAAAAAAAAAAAAAAAAFtDb250ZW50X1R5cGVzXS54bWxQSwECLQAUAAYACAAAACEAOP0h&#10;/9YAAACUAQAACwAAAAAAAAAAAAAAAAAvAQAAX3JlbHMvLnJlbHNQSwECLQAUAAYACAAAACEA6c52&#10;gr4CAACvBQAADgAAAAAAAAAAAAAAAAAuAgAAZHJzL2Uyb0RvYy54bWxQSwECLQAUAAYACAAAACEA&#10;mqLmTNwAAAAGAQAADwAAAAAAAAAAAAAAAAAYBQAAZHJzL2Rvd25yZXYueG1sUEsFBgAAAAAEAAQA&#10;8wAAACEGAAAAAA==&#10;" fillcolor="red" strokecolor="#4a7ebb">
                      <v:shadow on="t" color="black" opacity="22937f" origin=",.5" offset="0,.63889mm"/>
                    </v:oval>
                  </w:pict>
                </mc:Fallback>
              </mc:AlternateContent>
            </w:r>
          </w:p>
        </w:tc>
        <w:tc>
          <w:tcPr>
            <w:tcW w:w="6853" w:type="dxa"/>
            <w:shd w:val="clear" w:color="auto" w:fill="auto"/>
            <w:noWrap/>
            <w:vAlign w:val="center"/>
          </w:tcPr>
          <w:p w14:paraId="7300511B" w14:textId="77777777" w:rsidR="00124057" w:rsidRPr="00124057" w:rsidRDefault="00124057" w:rsidP="00124057">
            <w:pPr>
              <w:rPr>
                <w:rFonts w:ascii="Calibri" w:eastAsia="Times New Roman" w:hAnsi="Calibri" w:cs="Calibri"/>
                <w:color w:val="000000"/>
                <w:sz w:val="18"/>
                <w:szCs w:val="18"/>
                <w:lang w:val="es-ES"/>
              </w:rPr>
            </w:pPr>
            <w:r w:rsidRPr="00124057">
              <w:rPr>
                <w:rFonts w:ascii="Calibri" w:eastAsia="Times New Roman" w:hAnsi="Calibri" w:cs="Calibri"/>
                <w:color w:val="000000"/>
                <w:sz w:val="18"/>
                <w:szCs w:val="18"/>
                <w:lang w:val="es-ES"/>
              </w:rPr>
              <w:t>Crítico: Porcentaje de cumplimiento del indicador es superior al umbral  amarillo-rojo (+- 25%)</w:t>
            </w:r>
          </w:p>
        </w:tc>
      </w:tr>
    </w:tbl>
    <w:p w14:paraId="60C5F3F5" w14:textId="6FC95A88" w:rsidR="00124057" w:rsidRDefault="00124057" w:rsidP="00124057">
      <w:pPr>
        <w:spacing w:before="120" w:after="120"/>
        <w:jc w:val="both"/>
        <w:rPr>
          <w:rFonts w:asciiTheme="majorHAnsi" w:eastAsia="Times New Roman" w:hAnsiTheme="majorHAnsi" w:cstheme="majorHAnsi"/>
          <w:color w:val="000000"/>
          <w:lang w:eastAsia="es-MX"/>
        </w:rPr>
      </w:pPr>
      <w:r w:rsidRPr="00124057">
        <w:rPr>
          <w:rFonts w:asciiTheme="majorHAnsi" w:eastAsia="Times New Roman" w:hAnsiTheme="majorHAnsi" w:cstheme="majorHAnsi"/>
          <w:color w:val="000000"/>
          <w:lang w:eastAsia="es-MX"/>
        </w:rPr>
        <w:t>En el Cuadro 3 y 4 se muestra el porcentaje de indicadores por nivel de cumpl</w:t>
      </w:r>
      <w:r w:rsidR="00CE7E61">
        <w:rPr>
          <w:rFonts w:asciiTheme="majorHAnsi" w:eastAsia="Times New Roman" w:hAnsiTheme="majorHAnsi" w:cstheme="majorHAnsi"/>
          <w:color w:val="000000"/>
          <w:lang w:eastAsia="es-MX"/>
        </w:rPr>
        <w:t>imiento en sus metas. De los 13</w:t>
      </w:r>
      <w:r w:rsidRPr="00124057">
        <w:rPr>
          <w:rFonts w:asciiTheme="majorHAnsi" w:eastAsia="Times New Roman" w:hAnsiTheme="majorHAnsi" w:cstheme="majorHAnsi"/>
          <w:color w:val="000000"/>
          <w:lang w:eastAsia="es-MX"/>
        </w:rPr>
        <w:t xml:space="preserve"> indicadores</w:t>
      </w:r>
      <w:r w:rsidR="00CE7E61">
        <w:rPr>
          <w:rFonts w:asciiTheme="majorHAnsi" w:eastAsia="Times New Roman" w:hAnsiTheme="majorHAnsi" w:cstheme="majorHAnsi"/>
          <w:color w:val="000000"/>
          <w:lang w:eastAsia="es-MX"/>
        </w:rPr>
        <w:t xml:space="preserve"> reportados, 7</w:t>
      </w:r>
      <w:r w:rsidRPr="00124057">
        <w:rPr>
          <w:rFonts w:asciiTheme="majorHAnsi" w:eastAsia="Times New Roman" w:hAnsiTheme="majorHAnsi" w:cstheme="majorHAnsi"/>
          <w:color w:val="000000"/>
          <w:lang w:eastAsia="es-MX"/>
        </w:rPr>
        <w:t xml:space="preserve"> tienen un nivel de cumplimiento aceptable (verde); </w:t>
      </w:r>
      <w:r w:rsidR="00CE7E61">
        <w:rPr>
          <w:rFonts w:asciiTheme="majorHAnsi" w:eastAsia="Times New Roman" w:hAnsiTheme="majorHAnsi" w:cstheme="majorHAnsi"/>
          <w:color w:val="000000"/>
          <w:lang w:eastAsia="es-MX"/>
        </w:rPr>
        <w:t>y 6</w:t>
      </w:r>
      <w:r w:rsidRPr="00124057">
        <w:rPr>
          <w:rFonts w:asciiTheme="majorHAnsi" w:eastAsia="Times New Roman" w:hAnsiTheme="majorHAnsi" w:cstheme="majorHAnsi"/>
          <w:color w:val="000000"/>
          <w:lang w:eastAsia="es-MX"/>
        </w:rPr>
        <w:t xml:space="preserve"> indicadores tienen un nivel de cumplimiento crítico (rojo). Lo ant</w:t>
      </w:r>
      <w:r w:rsidR="0027516C">
        <w:rPr>
          <w:rFonts w:asciiTheme="majorHAnsi" w:eastAsia="Times New Roman" w:hAnsiTheme="majorHAnsi" w:cstheme="majorHAnsi"/>
          <w:color w:val="000000"/>
          <w:lang w:eastAsia="es-MX"/>
        </w:rPr>
        <w:t>erior indica que poco más</w:t>
      </w:r>
      <w:r w:rsidRPr="00124057">
        <w:rPr>
          <w:rFonts w:asciiTheme="majorHAnsi" w:eastAsia="Times New Roman" w:hAnsiTheme="majorHAnsi" w:cstheme="majorHAnsi"/>
          <w:color w:val="000000"/>
          <w:lang w:eastAsia="es-MX"/>
        </w:rPr>
        <w:t xml:space="preserve"> de</w:t>
      </w:r>
      <w:r w:rsidR="0027516C">
        <w:rPr>
          <w:rFonts w:asciiTheme="majorHAnsi" w:eastAsia="Times New Roman" w:hAnsiTheme="majorHAnsi" w:cstheme="majorHAnsi"/>
          <w:color w:val="000000"/>
          <w:lang w:eastAsia="es-MX"/>
        </w:rPr>
        <w:t xml:space="preserve"> la mitad de</w:t>
      </w:r>
      <w:r w:rsidRPr="00124057">
        <w:rPr>
          <w:rFonts w:asciiTheme="majorHAnsi" w:eastAsia="Times New Roman" w:hAnsiTheme="majorHAnsi" w:cstheme="majorHAnsi"/>
          <w:color w:val="000000"/>
          <w:lang w:eastAsia="es-MX"/>
        </w:rPr>
        <w:t xml:space="preserve"> los indicadores de los programas presupuestarios de CONACYT, </w:t>
      </w:r>
      <w:r w:rsidRPr="0027516C">
        <w:rPr>
          <w:rFonts w:asciiTheme="majorHAnsi" w:eastAsia="Times New Roman" w:hAnsiTheme="majorHAnsi" w:cstheme="majorHAnsi"/>
          <w:color w:val="000000"/>
          <w:lang w:eastAsia="es-MX"/>
        </w:rPr>
        <w:t>tuvieron un comportam</w:t>
      </w:r>
      <w:r w:rsidR="002F4A66" w:rsidRPr="0027516C">
        <w:rPr>
          <w:rFonts w:asciiTheme="majorHAnsi" w:eastAsia="Times New Roman" w:hAnsiTheme="majorHAnsi" w:cstheme="majorHAnsi"/>
          <w:color w:val="000000"/>
          <w:lang w:eastAsia="es-MX"/>
        </w:rPr>
        <w:t>iento adecuado durante el primer</w:t>
      </w:r>
      <w:r w:rsidRPr="0027516C">
        <w:rPr>
          <w:rFonts w:asciiTheme="majorHAnsi" w:eastAsia="Times New Roman" w:hAnsiTheme="majorHAnsi" w:cstheme="majorHAnsi"/>
          <w:color w:val="000000"/>
          <w:lang w:eastAsia="es-MX"/>
        </w:rPr>
        <w:t xml:space="preserve"> trimestre del año.</w:t>
      </w:r>
    </w:p>
    <w:p w14:paraId="27EE0DE7" w14:textId="77777777" w:rsidR="002124AE" w:rsidRPr="002124AE" w:rsidRDefault="002124AE" w:rsidP="002124AE">
      <w:pPr>
        <w:spacing w:before="120" w:after="120"/>
        <w:jc w:val="both"/>
        <w:rPr>
          <w:rFonts w:asciiTheme="majorHAnsi" w:eastAsia="Times New Roman" w:hAnsiTheme="majorHAnsi" w:cstheme="majorHAnsi"/>
          <w:color w:val="000000"/>
          <w:lang w:val="es-MX" w:eastAsia="es-MX"/>
        </w:rPr>
      </w:pPr>
      <w:r w:rsidRPr="002124AE">
        <w:rPr>
          <w:rFonts w:asciiTheme="majorHAnsi" w:eastAsia="Times New Roman" w:hAnsiTheme="majorHAnsi" w:cstheme="majorHAnsi"/>
          <w:color w:val="000000"/>
          <w:lang w:val="es-MX" w:eastAsia="es-MX"/>
        </w:rPr>
        <w:t>Es importante mencionar que de los 6 indicadores que tuvieron un comportamiento no óptimo durante el 1° trimestre del año en curso, en gran medida se debió a diferentes contingencias emanadas del cambio de administración. Los procesos administrativos experimentaron modificaciones en sus cursos habituales que incidieron en el logro de las metas planteadas por algunos programas para el primer trimestre de 2019.</w:t>
      </w:r>
    </w:p>
    <w:p w14:paraId="72982CDC" w14:textId="77777777" w:rsidR="002124AE" w:rsidRPr="002124AE" w:rsidRDefault="002124AE" w:rsidP="002124AE">
      <w:pPr>
        <w:spacing w:before="120" w:after="120"/>
        <w:jc w:val="both"/>
        <w:rPr>
          <w:rFonts w:asciiTheme="majorHAnsi" w:eastAsia="Times New Roman" w:hAnsiTheme="majorHAnsi" w:cstheme="majorHAnsi"/>
          <w:color w:val="000000"/>
          <w:lang w:val="es-MX" w:eastAsia="es-MX"/>
        </w:rPr>
      </w:pPr>
      <w:r w:rsidRPr="002124AE">
        <w:rPr>
          <w:rFonts w:asciiTheme="majorHAnsi" w:eastAsia="Times New Roman" w:hAnsiTheme="majorHAnsi" w:cstheme="majorHAnsi"/>
          <w:color w:val="000000"/>
          <w:lang w:val="es-MX" w:eastAsia="es-MX"/>
        </w:rPr>
        <w:t xml:space="preserve">Para futuros periodos de reporte, es fundamental que los Programas realicen los ajustes de metas necesarios, a efecto de que sus proyecciones sean más acordes a lo logrado. </w:t>
      </w:r>
    </w:p>
    <w:p w14:paraId="1AA300CE" w14:textId="77777777" w:rsidR="002124AE" w:rsidRDefault="002124AE" w:rsidP="00124057">
      <w:pPr>
        <w:spacing w:before="120" w:after="120"/>
        <w:jc w:val="both"/>
        <w:rPr>
          <w:rFonts w:asciiTheme="majorHAnsi" w:eastAsia="Times New Roman" w:hAnsiTheme="majorHAnsi" w:cstheme="majorHAnsi"/>
          <w:color w:val="000000"/>
          <w:lang w:eastAsia="es-MX"/>
        </w:rPr>
      </w:pPr>
    </w:p>
    <w:p w14:paraId="61EC0819" w14:textId="36FF8C29" w:rsidR="003460C0" w:rsidRDefault="003460C0" w:rsidP="00124057">
      <w:pPr>
        <w:spacing w:before="120" w:after="120"/>
        <w:jc w:val="both"/>
        <w:rPr>
          <w:rFonts w:asciiTheme="majorHAnsi" w:eastAsia="Times New Roman" w:hAnsiTheme="majorHAnsi" w:cstheme="majorHAnsi"/>
          <w:color w:val="000000"/>
          <w:lang w:eastAsia="es-MX"/>
        </w:rPr>
      </w:pPr>
    </w:p>
    <w:p w14:paraId="04B0DC03" w14:textId="0FF50DC6" w:rsidR="003460C0" w:rsidRDefault="003460C0" w:rsidP="00124057">
      <w:pPr>
        <w:spacing w:before="120" w:after="120"/>
        <w:jc w:val="both"/>
        <w:rPr>
          <w:rFonts w:asciiTheme="majorHAnsi" w:eastAsia="Times New Roman" w:hAnsiTheme="majorHAnsi" w:cstheme="majorHAnsi"/>
          <w:color w:val="000000"/>
          <w:lang w:eastAsia="es-MX"/>
        </w:rPr>
      </w:pPr>
    </w:p>
    <w:p w14:paraId="471E1EA0" w14:textId="33ED5345" w:rsidR="003460C0" w:rsidRDefault="003460C0" w:rsidP="00124057">
      <w:pPr>
        <w:spacing w:before="120" w:after="120"/>
        <w:jc w:val="both"/>
        <w:rPr>
          <w:rFonts w:asciiTheme="majorHAnsi" w:eastAsia="Times New Roman" w:hAnsiTheme="majorHAnsi" w:cstheme="majorHAnsi"/>
          <w:color w:val="000000"/>
          <w:lang w:eastAsia="es-MX"/>
        </w:rPr>
      </w:pPr>
    </w:p>
    <w:p w14:paraId="32A03C55" w14:textId="4837608B" w:rsidR="00C17053" w:rsidRDefault="00C17053" w:rsidP="00124057">
      <w:pPr>
        <w:spacing w:before="120" w:after="120"/>
        <w:jc w:val="both"/>
        <w:rPr>
          <w:rFonts w:asciiTheme="majorHAnsi" w:eastAsia="Times New Roman" w:hAnsiTheme="majorHAnsi" w:cstheme="majorHAnsi"/>
          <w:color w:val="000000"/>
          <w:lang w:eastAsia="es-MX"/>
        </w:rPr>
      </w:pPr>
    </w:p>
    <w:p w14:paraId="252CE7E1" w14:textId="7B2D39C9" w:rsidR="00124057" w:rsidRPr="00124057" w:rsidRDefault="00124057" w:rsidP="00A477CB">
      <w:pPr>
        <w:spacing w:before="120" w:after="120"/>
        <w:rPr>
          <w:rFonts w:asciiTheme="majorHAnsi" w:eastAsia="Times New Roman" w:hAnsiTheme="majorHAnsi" w:cstheme="majorHAnsi"/>
          <w:b/>
          <w:color w:val="000000"/>
          <w:lang w:eastAsia="es-MX"/>
        </w:rPr>
      </w:pPr>
    </w:p>
    <w:p w14:paraId="46C86F77" w14:textId="67E76A7E" w:rsidR="00124057" w:rsidRPr="00124057" w:rsidRDefault="00124057" w:rsidP="00124057">
      <w:pPr>
        <w:spacing w:before="120" w:after="120"/>
        <w:jc w:val="center"/>
        <w:rPr>
          <w:rFonts w:asciiTheme="majorHAnsi" w:eastAsia="Times New Roman" w:hAnsiTheme="majorHAnsi" w:cstheme="majorHAnsi"/>
          <w:color w:val="000000"/>
          <w:lang w:eastAsia="es-MX"/>
        </w:rPr>
      </w:pPr>
      <w:r w:rsidRPr="00124057">
        <w:rPr>
          <w:rFonts w:asciiTheme="majorHAnsi" w:eastAsia="Times New Roman" w:hAnsiTheme="majorHAnsi" w:cstheme="majorHAnsi"/>
          <w:b/>
          <w:color w:val="000000"/>
          <w:lang w:eastAsia="es-MX"/>
        </w:rPr>
        <w:lastRenderedPageBreak/>
        <w:t>Cuadro 3.</w:t>
      </w:r>
      <w:r w:rsidRPr="00124057">
        <w:rPr>
          <w:rFonts w:asciiTheme="majorHAnsi" w:eastAsia="Times New Roman" w:hAnsiTheme="majorHAnsi" w:cstheme="majorHAnsi"/>
          <w:color w:val="000000"/>
          <w:lang w:eastAsia="es-MX"/>
        </w:rPr>
        <w:t xml:space="preserve"> Cum</w:t>
      </w:r>
      <w:r w:rsidR="00C17053">
        <w:rPr>
          <w:rFonts w:asciiTheme="majorHAnsi" w:eastAsia="Times New Roman" w:hAnsiTheme="majorHAnsi" w:cstheme="majorHAnsi"/>
          <w:color w:val="000000"/>
          <w:lang w:eastAsia="es-MX"/>
        </w:rPr>
        <w:t>plimiento de las metas al primer trimestre de 2019</w:t>
      </w:r>
      <w:r w:rsidRPr="00124057">
        <w:rPr>
          <w:rFonts w:asciiTheme="majorHAnsi" w:eastAsia="Times New Roman" w:hAnsiTheme="majorHAnsi" w:cstheme="majorHAnsi"/>
          <w:color w:val="000000"/>
          <w:lang w:eastAsia="es-MX"/>
        </w:rPr>
        <w:t xml:space="preserve"> de los programas del CONACYT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1717"/>
        <w:gridCol w:w="1663"/>
        <w:gridCol w:w="1396"/>
        <w:gridCol w:w="1783"/>
      </w:tblGrid>
      <w:tr w:rsidR="00124057" w:rsidRPr="00124057" w14:paraId="48AE55F4" w14:textId="77777777" w:rsidTr="00C17053">
        <w:trPr>
          <w:trHeight w:val="315"/>
        </w:trPr>
        <w:tc>
          <w:tcPr>
            <w:tcW w:w="1611" w:type="pct"/>
            <w:vMerge w:val="restart"/>
            <w:shd w:val="clear" w:color="auto" w:fill="244061" w:themeFill="accent1" w:themeFillShade="80"/>
            <w:vAlign w:val="center"/>
            <w:hideMark/>
          </w:tcPr>
          <w:p w14:paraId="12690213" w14:textId="77777777" w:rsidR="00124057" w:rsidRPr="00124057" w:rsidRDefault="00124057" w:rsidP="00124057">
            <w:pPr>
              <w:jc w:val="both"/>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Programa presupuestario (Modalidad y nombre)</w:t>
            </w:r>
          </w:p>
        </w:tc>
        <w:tc>
          <w:tcPr>
            <w:tcW w:w="2467" w:type="pct"/>
            <w:gridSpan w:val="3"/>
            <w:shd w:val="clear" w:color="auto" w:fill="244061" w:themeFill="accent1" w:themeFillShade="80"/>
            <w:noWrap/>
            <w:vAlign w:val="center"/>
            <w:hideMark/>
          </w:tcPr>
          <w:p w14:paraId="61813E36"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Semáforo de  cumplimiento de la meta</w:t>
            </w:r>
          </w:p>
        </w:tc>
        <w:tc>
          <w:tcPr>
            <w:tcW w:w="921" w:type="pct"/>
            <w:vMerge w:val="restart"/>
            <w:shd w:val="clear" w:color="auto" w:fill="244061" w:themeFill="accent1" w:themeFillShade="80"/>
            <w:noWrap/>
            <w:vAlign w:val="center"/>
            <w:hideMark/>
          </w:tcPr>
          <w:p w14:paraId="363C7702"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Total</w:t>
            </w:r>
          </w:p>
        </w:tc>
      </w:tr>
      <w:tr w:rsidR="00124057" w:rsidRPr="00124057" w14:paraId="222C41EF" w14:textId="77777777" w:rsidTr="00C17053">
        <w:trPr>
          <w:trHeight w:val="990"/>
        </w:trPr>
        <w:tc>
          <w:tcPr>
            <w:tcW w:w="1611" w:type="pct"/>
            <w:vMerge/>
            <w:vAlign w:val="center"/>
            <w:hideMark/>
          </w:tcPr>
          <w:p w14:paraId="63243D64" w14:textId="77777777" w:rsidR="00124057" w:rsidRPr="00124057" w:rsidRDefault="00124057" w:rsidP="00124057">
            <w:pPr>
              <w:jc w:val="both"/>
              <w:rPr>
                <w:rFonts w:asciiTheme="majorHAnsi" w:eastAsia="Times New Roman" w:hAnsiTheme="majorHAnsi" w:cstheme="majorHAnsi"/>
                <w:color w:val="FFFFFF"/>
                <w:sz w:val="18"/>
                <w:szCs w:val="18"/>
                <w:lang w:val="es-MX" w:eastAsia="es-MX"/>
              </w:rPr>
            </w:pPr>
          </w:p>
        </w:tc>
        <w:tc>
          <w:tcPr>
            <w:tcW w:w="887" w:type="pct"/>
            <w:shd w:val="clear" w:color="auto" w:fill="244061" w:themeFill="accent1" w:themeFillShade="80"/>
            <w:vAlign w:val="center"/>
            <w:hideMark/>
          </w:tcPr>
          <w:p w14:paraId="005417AC"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Aceptable</w:t>
            </w:r>
          </w:p>
          <w:p w14:paraId="351CDC01"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4384" behindDoc="0" locked="0" layoutInCell="1" allowOverlap="1" wp14:anchorId="68A18E99" wp14:editId="18E8800A">
                      <wp:simplePos x="0" y="0"/>
                      <wp:positionH relativeFrom="column">
                        <wp:posOffset>381635</wp:posOffset>
                      </wp:positionH>
                      <wp:positionV relativeFrom="paragraph">
                        <wp:posOffset>219710</wp:posOffset>
                      </wp:positionV>
                      <wp:extent cx="179705" cy="179705"/>
                      <wp:effectExtent l="57150" t="19050" r="10795" b="86995"/>
                      <wp:wrapNone/>
                      <wp:docPr id="15" name="Elipse 15"/>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FAF34" id="Elipse 15" o:spid="_x0000_s1026" style="position:absolute;margin-left:30.05pt;margin-top:17.3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2gvQIAALEFAAAOAAAAZHJzL2Uyb0RvYy54bWysVN1v2jAQf5+0/8Hy+5qEwlpQQ0XLmCZ1&#10;LRqd+nw4DrHk2J5tCN1fv7MdWti6l2kvyX35Pn93V9f7VpIdt05oVdLiLKeEK6YroTYl/f64+HBJ&#10;ifOgKpBa8ZI+c0evp+/fXXVmwge60bLilqAT5SadKWnjvZlkmWMNb8GdacMVKmttW/DI2k1WWejQ&#10;eyuzQZ5/zDptK2M1486hdJ6UdBr91zVn/qGuHfdElhRz8/Fr43cdvtn0CiYbC6YRrE8D/iGLFoTC&#10;oC+u5uCBbK34w1UrmNVO1/6M6TbTdS0YjzVgNUX+WzWrBgyPtWBznHlpk/t/btn9bmmJqHB2I0oU&#10;tDijT1IYxwkKsDudcRM0Wpml7TmHZCh1X9s2/LEIso8dfX7pKN97wlBYXIwvcnTMUNXT6CV7fWys&#10;85+5bkkgSspljB1bCbs755P1wSqEc1qKaiGkjIzdrG+lJTsI881v8lEcKQY4MZOKdCUdjwYhFUCY&#10;1RI8kq3Bwp3aUAJyg/hl3sbQJ4/dcYzh4rK4mSejBiqeIo9Hed5jyYH/qqskLjCdJA8JJTex+hP/&#10;obg5uCa9iarQeHwiVaiRRxhjL2Kzt57bVVN1ZC239htg/kOMgdCuRGjg4LxnEOOjqEGV1f5J+CbC&#10;KYzojc5FH0EO0jSQUjn/S/b6kENM8ii9LIAlwSNQa109I7gweghKnGELgbXegfNLsLhmKMTT4R/w&#10;U0uNE9I9RUmj7c+35MEe0Y9aSjpcWxzfjy1YTon8onAvxsVwiG59ZIaji0Eo/1izPtaobXurETlF&#10;zC6Swd7LA1lb3T7hhZmFqKgCxTB2AkrP3Pp0TvBGMT6bRTPcbQP+Tq0MC85DX8OUH/dPYE0PdY87&#10;cq8PK46NP4V7sg0vlZ5tva5F3IXXvmLzA4N3IY6hv2Hh8Bzz0er10k5/AQAA//8DAFBLAwQUAAYA&#10;CAAAACEAT3vDnd4AAAAHAQAADwAAAGRycy9kb3ducmV2LnhtbEyOwU7DMBBE70j8g7VIXBB1Wkpk&#10;QpwKgUAcyoG0hx63yZJEje1gO2369ywnOM7O7MzLV5PpxZF86JzVMJ8lIMhWru5so2G7eb1VIEJE&#10;W2PvLGk4U4BVcXmRY1a7k/2kYxkbwSU2ZKihjXHIpAxVSwbDzA1k2fty3mBk6RtZezxxuenlIklS&#10;abCzvNDiQM8tVYdyNIyBN4fSf9+v33cf45tSanN24UXr66vp6RFEpCn+heEXn3+gYKa9G20dRK8h&#10;Teac1HC3TEGwr9QSxJ7viweQRS7/8xc/AAAA//8DAFBLAQItABQABgAIAAAAIQC2gziS/gAAAOEB&#10;AAATAAAAAAAAAAAAAAAAAAAAAABbQ29udGVudF9UeXBlc10ueG1sUEsBAi0AFAAGAAgAAAAhADj9&#10;If/WAAAAlAEAAAsAAAAAAAAAAAAAAAAALwEAAF9yZWxzLy5yZWxzUEsBAi0AFAAGAAgAAAAhAGZp&#10;PaC9AgAAsQUAAA4AAAAAAAAAAAAAAAAALgIAAGRycy9lMm9Eb2MueG1sUEsBAi0AFAAGAAgAAAAh&#10;AE97w53eAAAABwEAAA8AAAAAAAAAAAAAAAAAFwUAAGRycy9kb3ducmV2LnhtbFBLBQYAAAAABAAE&#10;APMAAAAiBgAAAAA=&#10;" fillcolor="#00b050" strokecolor="#4a7ebb">
                      <v:shadow on="t" color="black" opacity="22937f" origin=",.5" offset="0,.63889mm"/>
                    </v:oval>
                  </w:pict>
                </mc:Fallback>
              </mc:AlternateContent>
            </w:r>
            <w:r w:rsidRPr="00124057">
              <w:rPr>
                <w:rFonts w:asciiTheme="majorHAnsi" w:eastAsia="Times New Roman" w:hAnsiTheme="majorHAnsi" w:cstheme="majorHAnsi"/>
                <w:color w:val="FFFFFF"/>
                <w:sz w:val="18"/>
                <w:szCs w:val="18"/>
                <w:lang w:val="es-MX" w:eastAsia="es-MX"/>
              </w:rPr>
              <w:t xml:space="preserve">(verde) </w:t>
            </w:r>
          </w:p>
        </w:tc>
        <w:tc>
          <w:tcPr>
            <w:tcW w:w="859" w:type="pct"/>
            <w:shd w:val="clear" w:color="auto" w:fill="244061" w:themeFill="accent1" w:themeFillShade="80"/>
            <w:vAlign w:val="center"/>
            <w:hideMark/>
          </w:tcPr>
          <w:p w14:paraId="2F30E6E3"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 xml:space="preserve">Con riego </w:t>
            </w:r>
          </w:p>
          <w:p w14:paraId="02165023"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3360" behindDoc="0" locked="0" layoutInCell="1" allowOverlap="1" wp14:anchorId="2A84CE29" wp14:editId="43E5BC28">
                      <wp:simplePos x="0" y="0"/>
                      <wp:positionH relativeFrom="column">
                        <wp:posOffset>389255</wp:posOffset>
                      </wp:positionH>
                      <wp:positionV relativeFrom="paragraph">
                        <wp:posOffset>221615</wp:posOffset>
                      </wp:positionV>
                      <wp:extent cx="179705" cy="179705"/>
                      <wp:effectExtent l="57150" t="19050" r="10795" b="86995"/>
                      <wp:wrapNone/>
                      <wp:docPr id="13" name="Elipse 13"/>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FF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CA927" id="Elipse 13" o:spid="_x0000_s1026" style="position:absolute;margin-left:30.65pt;margin-top:17.4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yvvwIAALEFAAAOAAAAZHJzL2Uyb0RvYy54bWysVFtv2jAUfp+0/2D5fU2gsBbUULEypkld&#10;W41OfTaOQyw5tmcbQvfr99kJLezyMo2HcG4+l+9crq73jSI74bw0uqCDs5wSobkppd4U9Nvj8t0l&#10;JT4wXTJltCjos/D0evb2zVVrp2JoaqNK4QicaD9tbUHrEOw0yzyvRcP8mbFCQ1kZ17AA1m2y0rEW&#10;3huVDfP8fdYaV1pnuPAe0kWnpLPkv6oED/dV5UUgqqDILaSvS991/GazKzbdOGZryfs02D9k0TCp&#10;EfTF1YIFRrZO/uaqkdwZb6pwxk2TmaqSXKQaUM0g/6WaVc2sSLUAHG9fYPL/zy2/2z04Ikv07pwS&#10;zRr06KOS1gsCAdBprZ/CaGUfXM95kLHUfeWa+I8iyD4h+vyCqNgHwiEcXEwu8jElHKqehpfs9bF1&#10;PnwSpiGRKKhQKXaCku1ufeisD1YxnDdKlkupVGLcZn2jHNkx9HeJX55aigAnZkqTtqCT8TCmwjBm&#10;lWIBZGNRuNcbSpjaYH55cCn0yWN/HGO0vBx8WHRGNStFF3kyzrvAiMvCF1N24kF+kMeEOjep+hP/&#10;sbgF83X3Jqki8HiidKxRpDEGFgnsbRBuVZctWaut+8qQ/wixMdqljAAOz3sGMz5OGqicCU8y1Gmc&#10;Yot+Qy56gI8oZ8rWrEvl/C/Zm0MOKcmj9LI4LN14RGptymcMF6Kn6fCWLyVqvWU+PDCHNUNqOB3h&#10;Hp9KGXTI9BQltXE//iSP9ph+aClpsbZo3/ctc4IS9VljLyaD0SjueWJG44thLP9Ysz7W6G1zYzA5&#10;AxwpyxMZ7YM6kJUzzRMuzDxGhYppjtjdoPTMTejOCW4UF/N5MsNuWxZu9cry6DziGrv8uH9izvaj&#10;HrAjd+aw4gD+dNw72/hSm/k2mEqmXXjFFeBHBnchtaG/YfHwHPPJ6vXSzn4CAAD//wMAUEsDBBQA&#10;BgAIAAAAIQCvk/hW2wAAAAcBAAAPAAAAZHJzL2Rvd25yZXYueG1sTI7LTsMwEEX3SPyDNUjsqNMG&#10;QpPGqVBFN+xaEOtJPHm0sR3Fbhr+nmFFl/ehe0++nU0vJhp956yC5SICQbZyurONgq/P/dMahA9o&#10;NfbOkoIf8rAt7u9yzLS72gNNx9AIHrE+QwVtCEMmpa9aMugXbiDLWe1Gg4Hl2Eg94pXHTS9XUZRI&#10;g53lhxYH2rVUnY8Xo+CAYzqZU/X+4svXj+l7X++Gc63U48P8tgERaA7/ZfjDZ3QomKl0F6u96BUk&#10;y5ibCuLnFATn6zQBUbIfr0AWubzlL34BAAD//wMAUEsBAi0AFAAGAAgAAAAhALaDOJL+AAAA4QEA&#10;ABMAAAAAAAAAAAAAAAAAAAAAAFtDb250ZW50X1R5cGVzXS54bWxQSwECLQAUAAYACAAAACEAOP0h&#10;/9YAAACUAQAACwAAAAAAAAAAAAAAAAAvAQAAX3JlbHMvLnJlbHNQSwECLQAUAAYACAAAACEAkLB8&#10;r78CAACxBQAADgAAAAAAAAAAAAAAAAAuAgAAZHJzL2Uyb0RvYy54bWxQSwECLQAUAAYACAAAACEA&#10;r5P4VtsAAAAHAQAADwAAAAAAAAAAAAAAAAAZBQAAZHJzL2Rvd25yZXYueG1sUEsFBgAAAAAEAAQA&#10;8wAAACEGAAAAAA==&#10;" fillcolor="yellow" strokecolor="#4a7ebb">
                      <v:shadow on="t" color="black" opacity="22937f" origin=",.5" offset="0,.63889mm"/>
                    </v:oval>
                  </w:pict>
                </mc:Fallback>
              </mc:AlternateContent>
            </w:r>
            <w:r w:rsidRPr="00124057">
              <w:rPr>
                <w:rFonts w:asciiTheme="majorHAnsi" w:eastAsia="Times New Roman" w:hAnsiTheme="majorHAnsi" w:cstheme="majorHAnsi"/>
                <w:color w:val="FFFFFF"/>
                <w:sz w:val="18"/>
                <w:szCs w:val="18"/>
                <w:lang w:val="es-MX" w:eastAsia="es-MX"/>
              </w:rPr>
              <w:t>(amarillo)</w:t>
            </w:r>
            <w:r w:rsidRPr="00124057">
              <w:rPr>
                <w:rFonts w:asciiTheme="majorHAnsi" w:eastAsia="Times New Roman" w:hAnsiTheme="majorHAnsi" w:cstheme="majorHAnsi"/>
                <w:noProof/>
                <w:color w:val="000000"/>
                <w:lang w:val="es-ES"/>
              </w:rPr>
              <w:t xml:space="preserve"> </w:t>
            </w:r>
          </w:p>
        </w:tc>
        <w:tc>
          <w:tcPr>
            <w:tcW w:w="721" w:type="pct"/>
            <w:shd w:val="clear" w:color="auto" w:fill="244061" w:themeFill="accent1" w:themeFillShade="80"/>
            <w:vAlign w:val="center"/>
            <w:hideMark/>
          </w:tcPr>
          <w:p w14:paraId="2D0CEEA3"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color w:val="FFFFFF"/>
                <w:sz w:val="18"/>
                <w:szCs w:val="18"/>
                <w:lang w:val="es-MX" w:eastAsia="es-MX"/>
              </w:rPr>
              <w:t xml:space="preserve">Crítico </w:t>
            </w:r>
          </w:p>
          <w:p w14:paraId="642BA53A" w14:textId="77777777" w:rsidR="00124057" w:rsidRPr="00124057" w:rsidRDefault="00124057" w:rsidP="00124057">
            <w:pPr>
              <w:jc w:val="center"/>
              <w:rPr>
                <w:rFonts w:asciiTheme="majorHAnsi" w:eastAsia="Times New Roman" w:hAnsiTheme="majorHAnsi" w:cstheme="majorHAnsi"/>
                <w:color w:val="FFFFFF"/>
                <w:sz w:val="18"/>
                <w:szCs w:val="18"/>
                <w:lang w:val="es-MX" w:eastAsia="es-MX"/>
              </w:rPr>
            </w:pPr>
            <w:r w:rsidRPr="00124057">
              <w:rPr>
                <w:rFonts w:asciiTheme="majorHAnsi" w:eastAsia="Times New Roman" w:hAnsiTheme="majorHAnsi" w:cstheme="majorHAnsi"/>
                <w:noProof/>
                <w:color w:val="000000"/>
                <w:lang w:val="es-ES"/>
              </w:rPr>
              <mc:AlternateContent>
                <mc:Choice Requires="wps">
                  <w:drawing>
                    <wp:anchor distT="0" distB="0" distL="114300" distR="114300" simplePos="0" relativeHeight="251662336" behindDoc="0" locked="0" layoutInCell="1" allowOverlap="1" wp14:anchorId="5F702C63" wp14:editId="6D63B458">
                      <wp:simplePos x="0" y="0"/>
                      <wp:positionH relativeFrom="column">
                        <wp:posOffset>262255</wp:posOffset>
                      </wp:positionH>
                      <wp:positionV relativeFrom="paragraph">
                        <wp:posOffset>203835</wp:posOffset>
                      </wp:positionV>
                      <wp:extent cx="179705" cy="179705"/>
                      <wp:effectExtent l="57150" t="19050" r="10795" b="86995"/>
                      <wp:wrapNone/>
                      <wp:docPr id="12" name="Elipse 12"/>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0EC58" id="Elipse 12" o:spid="_x0000_s1026" style="position:absolute;margin-left:20.65pt;margin-top:16.0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c/vQIAALEFAAAOAAAAZHJzL2Uyb0RvYy54bWysVN1v2jAQf5+0/8Hy+xpCYS2ooWJlTJO6&#10;thqd+nw4DrHk2J5tCO1fvzsntHTdXqbxEO7L9/m7u7jcN5rtpA/KmoLnJwPOpBG2VGZT8B/3yw/n&#10;nIUIpgRtjSz4owz8cvb+3UXrpnJoa6tL6Rk6MWHauoLXMbpplgVRywbCiXXSoLKyvoGIrN9kpYcW&#10;vTc6Gw4GH7PW+tJ5K2QIKF10Sj5L/qtKinhbVUFGpguOucX09em7pm82u4DpxoOrlejTgH/IogFl&#10;MOizqwVEYFuv3rhqlPA22CqeCNtktqqUkKkGrCYf/FbNqgYnUy3YnOCe2xT+n1txs7vzTJU4uyFn&#10;Bhqc0WetXJAMBdid1oUpGq3cne+5gCSVuq98Q/9YBNunjj4+d1TuIxMozM8mZ4MxZwJVPY1espfH&#10;zof4RdqGEVFwqVPs1ErYXYfYWR+sKFywWpVLpXVi/GZ9pT3bAc53uRzgj5LGAK/MtGFtwSfjIaUC&#10;CLNKQ0SycVh4MBvOQG8QvyL6FPrV43AcY7Q8zz8tOqMaStlFnoz7wBgX4jdbduJ8cJBTQp2bt8lR&#10;cQsIdfcmhe5r0IZqlAnG2IvU7G2UflWXLVvrrf8OmP8oVc1KRQ0cnlImyCDGx0mDnLfxQcU6wYlG&#10;9KZz5AGfkRy0q6FL5fQv2dtDDqmWo/QyAksHD6LWtnxEcGH0hI7gxFJhrdcQ4h14XDNMDU9HvMVP&#10;pS1OyPYUZ7X1T3+Skz2iH7Wctbi2OL6fW/CSM/3V4F5M8tGI9jwxo/HZkMo/1qyPNWbbXFlETo5H&#10;yolEkn3UB7LytnnACzOnqKgCIzB2B5SeuYrdOcEbJeR8nsxwtx3Ea7NygpxTX2nK9/sH8K6HesQd&#10;ubGHFcfGv4Z7Z0svjZ1vo61U2oWXvmLzicG7kMbQ3zA6PMd8snq5tLNfAAAA//8DAFBLAwQUAAYA&#10;CAAAACEAUcBOh90AAAAHAQAADwAAAGRycy9kb3ducmV2LnhtbEyOzU7DMBCE70i8g7VIXBB1fkpE&#10;Q5wKIeDclgrBzY2XOCJeR7HbBJ6e5QSn0WhGM1+1nl0vTjiGzpOCdJGAQGq86ahVsH95ur4FEaIm&#10;o3tPqOALA6zr87NKl8ZPtMXTLraCRyiUWoGNcSilDI1Fp8PCD0icffjR6ch2bKUZ9cTjrpdZkhTS&#10;6Y74weoBHyw2n7ujU+Cz7aOJb+O3nW7eX6/2zxu5yjdKXV7M93cgIs7xrwy/+IwONTMd/JFMEL2C&#10;ZZpzU0GepSA4L1YFiANrsgRZV/I/f/0DAAD//wMAUEsBAi0AFAAGAAgAAAAhALaDOJL+AAAA4QEA&#10;ABMAAAAAAAAAAAAAAAAAAAAAAFtDb250ZW50X1R5cGVzXS54bWxQSwECLQAUAAYACAAAACEAOP0h&#10;/9YAAACUAQAACwAAAAAAAAAAAAAAAAAvAQAAX3JlbHMvLnJlbHNQSwECLQAUAAYACAAAACEAS9JH&#10;P70CAACxBQAADgAAAAAAAAAAAAAAAAAuAgAAZHJzL2Uyb0RvYy54bWxQSwECLQAUAAYACAAAACEA&#10;UcBOh90AAAAHAQAADwAAAAAAAAAAAAAAAAAXBQAAZHJzL2Rvd25yZXYueG1sUEsFBgAAAAAEAAQA&#10;8wAAACEGAAAAAA==&#10;" fillcolor="red" strokecolor="#4a7ebb">
                      <v:shadow on="t" color="black" opacity="22937f" origin=",.5" offset="0,.63889mm"/>
                    </v:oval>
                  </w:pict>
                </mc:Fallback>
              </mc:AlternateContent>
            </w:r>
            <w:r w:rsidRPr="00124057">
              <w:rPr>
                <w:rFonts w:asciiTheme="majorHAnsi" w:eastAsia="Times New Roman" w:hAnsiTheme="majorHAnsi" w:cstheme="majorHAnsi"/>
                <w:color w:val="FFFFFF"/>
                <w:sz w:val="18"/>
                <w:szCs w:val="18"/>
                <w:lang w:val="es-MX" w:eastAsia="es-MX"/>
              </w:rPr>
              <w:t>(rojo)</w:t>
            </w:r>
          </w:p>
        </w:tc>
        <w:tc>
          <w:tcPr>
            <w:tcW w:w="921" w:type="pct"/>
            <w:vMerge/>
            <w:vAlign w:val="center"/>
            <w:hideMark/>
          </w:tcPr>
          <w:p w14:paraId="796E93E2" w14:textId="77777777" w:rsidR="00124057" w:rsidRPr="00124057" w:rsidRDefault="00124057" w:rsidP="00124057">
            <w:pPr>
              <w:rPr>
                <w:rFonts w:asciiTheme="majorHAnsi" w:eastAsia="Times New Roman" w:hAnsiTheme="majorHAnsi" w:cstheme="majorHAnsi"/>
                <w:b/>
                <w:bCs/>
                <w:color w:val="FFFFFF"/>
                <w:sz w:val="18"/>
                <w:szCs w:val="18"/>
                <w:lang w:val="es-ES"/>
              </w:rPr>
            </w:pPr>
          </w:p>
        </w:tc>
      </w:tr>
      <w:tr w:rsidR="00124057" w:rsidRPr="00124057" w14:paraId="04BEEABE" w14:textId="77777777" w:rsidTr="00C17053">
        <w:trPr>
          <w:trHeight w:val="691"/>
        </w:trPr>
        <w:tc>
          <w:tcPr>
            <w:tcW w:w="1611" w:type="pct"/>
            <w:shd w:val="clear" w:color="000000" w:fill="FFFFFF"/>
          </w:tcPr>
          <w:p w14:paraId="3A5D0993"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F002- Apoyos para actividades científicas, tecnológicas y de innovación</w:t>
            </w:r>
          </w:p>
        </w:tc>
        <w:tc>
          <w:tcPr>
            <w:tcW w:w="887" w:type="pct"/>
            <w:shd w:val="clear" w:color="000000" w:fill="FFFFFF"/>
            <w:noWrap/>
            <w:vAlign w:val="center"/>
          </w:tcPr>
          <w:p w14:paraId="1E451F6D" w14:textId="7E866CD6"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859" w:type="pct"/>
            <w:shd w:val="clear" w:color="000000" w:fill="FFFFFF"/>
            <w:noWrap/>
            <w:vAlign w:val="center"/>
          </w:tcPr>
          <w:p w14:paraId="5CD355F6" w14:textId="687CAC74"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3295B581" w14:textId="5AA086DA" w:rsidR="00124057" w:rsidRPr="00124057" w:rsidRDefault="00C17053"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100.00</w:t>
            </w:r>
            <w:r w:rsidR="00124057" w:rsidRPr="00124057">
              <w:rPr>
                <w:rFonts w:asciiTheme="majorHAnsi" w:eastAsia="Times New Roman" w:hAnsiTheme="majorHAnsi" w:cstheme="majorHAnsi"/>
                <w:color w:val="000000"/>
                <w:sz w:val="18"/>
                <w:szCs w:val="18"/>
                <w:lang w:val="es-ES"/>
              </w:rPr>
              <w:t>%</w:t>
            </w:r>
          </w:p>
        </w:tc>
        <w:tc>
          <w:tcPr>
            <w:tcW w:w="921" w:type="pct"/>
            <w:shd w:val="clear" w:color="000000" w:fill="FFFFFF"/>
            <w:noWrap/>
            <w:vAlign w:val="center"/>
          </w:tcPr>
          <w:p w14:paraId="3460E85C"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124057" w:rsidRPr="00124057" w14:paraId="0B9266E1" w14:textId="77777777" w:rsidTr="00C17053">
        <w:trPr>
          <w:trHeight w:val="492"/>
        </w:trPr>
        <w:tc>
          <w:tcPr>
            <w:tcW w:w="1611" w:type="pct"/>
            <w:shd w:val="clear" w:color="000000" w:fill="FFFFFF"/>
          </w:tcPr>
          <w:p w14:paraId="418A8C07"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S190- Becas de posgrado y apoyos a la calidad</w:t>
            </w:r>
          </w:p>
        </w:tc>
        <w:tc>
          <w:tcPr>
            <w:tcW w:w="887" w:type="pct"/>
            <w:shd w:val="clear" w:color="000000" w:fill="FFFFFF"/>
            <w:noWrap/>
            <w:vAlign w:val="center"/>
          </w:tcPr>
          <w:p w14:paraId="7B2AC53A" w14:textId="4C290D84" w:rsidR="00124057" w:rsidRPr="00124057" w:rsidRDefault="001D1376"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4</w:t>
            </w:r>
            <w:r w:rsidR="00124057" w:rsidRPr="00124057">
              <w:rPr>
                <w:rFonts w:asciiTheme="majorHAnsi" w:eastAsia="Times New Roman" w:hAnsiTheme="majorHAnsi" w:cstheme="majorHAnsi"/>
                <w:color w:val="000000"/>
                <w:sz w:val="18"/>
                <w:szCs w:val="18"/>
                <w:lang w:val="es-ES"/>
              </w:rPr>
              <w:t>0</w:t>
            </w:r>
            <w:r>
              <w:rPr>
                <w:rFonts w:asciiTheme="majorHAnsi" w:eastAsia="Times New Roman" w:hAnsiTheme="majorHAnsi" w:cstheme="majorHAnsi"/>
                <w:color w:val="000000"/>
                <w:sz w:val="18"/>
                <w:szCs w:val="18"/>
                <w:lang w:val="es-ES"/>
              </w:rPr>
              <w:t>.00</w:t>
            </w:r>
            <w:r w:rsidR="00124057" w:rsidRPr="00124057">
              <w:rPr>
                <w:rFonts w:asciiTheme="majorHAnsi" w:eastAsia="Times New Roman" w:hAnsiTheme="majorHAnsi" w:cstheme="majorHAnsi"/>
                <w:color w:val="000000"/>
                <w:sz w:val="18"/>
                <w:szCs w:val="18"/>
                <w:lang w:val="es-ES"/>
              </w:rPr>
              <w:t>%</w:t>
            </w:r>
          </w:p>
        </w:tc>
        <w:tc>
          <w:tcPr>
            <w:tcW w:w="859" w:type="pct"/>
            <w:shd w:val="clear" w:color="000000" w:fill="FFFFFF"/>
            <w:noWrap/>
            <w:vAlign w:val="center"/>
          </w:tcPr>
          <w:p w14:paraId="32DD365C" w14:textId="11F0DA26"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6B7B3DA9" w14:textId="2FEBFE9D" w:rsidR="00124057" w:rsidRPr="00124057" w:rsidRDefault="001D1376"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60.00</w:t>
            </w:r>
            <w:r w:rsidR="00124057" w:rsidRPr="00124057">
              <w:rPr>
                <w:rFonts w:asciiTheme="majorHAnsi" w:eastAsia="Times New Roman" w:hAnsiTheme="majorHAnsi" w:cstheme="majorHAnsi"/>
                <w:color w:val="000000"/>
                <w:sz w:val="18"/>
                <w:szCs w:val="18"/>
                <w:lang w:val="es-ES"/>
              </w:rPr>
              <w:t>%</w:t>
            </w:r>
          </w:p>
        </w:tc>
        <w:tc>
          <w:tcPr>
            <w:tcW w:w="921" w:type="pct"/>
            <w:shd w:val="clear" w:color="000000" w:fill="FFFFFF"/>
            <w:noWrap/>
            <w:vAlign w:val="center"/>
          </w:tcPr>
          <w:p w14:paraId="71F97F37"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124057" w:rsidRPr="00124057" w14:paraId="000F047C" w14:textId="77777777" w:rsidTr="00C17053">
        <w:trPr>
          <w:trHeight w:val="557"/>
        </w:trPr>
        <w:tc>
          <w:tcPr>
            <w:tcW w:w="1611" w:type="pct"/>
            <w:shd w:val="clear" w:color="000000" w:fill="FFFFFF"/>
          </w:tcPr>
          <w:p w14:paraId="0A818FFF"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S191- Sistema Nacional de Investigadores</w:t>
            </w:r>
          </w:p>
        </w:tc>
        <w:tc>
          <w:tcPr>
            <w:tcW w:w="887" w:type="pct"/>
            <w:shd w:val="clear" w:color="000000" w:fill="FFFFFF"/>
            <w:noWrap/>
            <w:vAlign w:val="center"/>
          </w:tcPr>
          <w:p w14:paraId="277DDD57" w14:textId="63E325A8" w:rsidR="00124057" w:rsidRPr="00124057" w:rsidRDefault="00C17053"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100.00</w:t>
            </w:r>
            <w:r w:rsidR="00124057" w:rsidRPr="00124057">
              <w:rPr>
                <w:rFonts w:asciiTheme="majorHAnsi" w:eastAsia="Times New Roman" w:hAnsiTheme="majorHAnsi" w:cstheme="majorHAnsi"/>
                <w:color w:val="000000"/>
                <w:sz w:val="18"/>
                <w:szCs w:val="18"/>
                <w:lang w:val="es-ES"/>
              </w:rPr>
              <w:t>%</w:t>
            </w:r>
          </w:p>
        </w:tc>
        <w:tc>
          <w:tcPr>
            <w:tcW w:w="859" w:type="pct"/>
            <w:shd w:val="clear" w:color="000000" w:fill="FFFFFF"/>
            <w:noWrap/>
            <w:vAlign w:val="center"/>
          </w:tcPr>
          <w:p w14:paraId="22A112D2" w14:textId="5FEDAEE2"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185BCF51" w14:textId="1C287720"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921" w:type="pct"/>
            <w:shd w:val="clear" w:color="000000" w:fill="FFFFFF"/>
            <w:noWrap/>
            <w:vAlign w:val="center"/>
          </w:tcPr>
          <w:p w14:paraId="152D25C7"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124057" w:rsidRPr="00124057" w14:paraId="5A38A9A8" w14:textId="77777777" w:rsidTr="00C17053">
        <w:trPr>
          <w:trHeight w:val="915"/>
        </w:trPr>
        <w:tc>
          <w:tcPr>
            <w:tcW w:w="1611" w:type="pct"/>
            <w:shd w:val="clear" w:color="000000" w:fill="FFFFFF"/>
          </w:tcPr>
          <w:p w14:paraId="5B2BBD92"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S192- Fortalecimiento sectorial de las capacidades científicas, tecnológicas y de innovación</w:t>
            </w:r>
          </w:p>
        </w:tc>
        <w:tc>
          <w:tcPr>
            <w:tcW w:w="887" w:type="pct"/>
            <w:shd w:val="clear" w:color="000000" w:fill="FFFFFF"/>
            <w:noWrap/>
            <w:vAlign w:val="center"/>
          </w:tcPr>
          <w:p w14:paraId="3814708B" w14:textId="6B6E1563"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859" w:type="pct"/>
            <w:shd w:val="clear" w:color="000000" w:fill="FFFFFF"/>
            <w:noWrap/>
            <w:vAlign w:val="center"/>
          </w:tcPr>
          <w:p w14:paraId="032E5832" w14:textId="3C5AEE17"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23FA2585" w14:textId="76B07B10" w:rsidR="00124057" w:rsidRPr="00124057" w:rsidRDefault="00C17053" w:rsidP="00124057">
            <w:pPr>
              <w:jc w:val="center"/>
              <w:rPr>
                <w:rFonts w:asciiTheme="majorHAnsi" w:eastAsia="Times New Roman" w:hAnsiTheme="majorHAnsi" w:cstheme="majorHAnsi"/>
                <w:color w:val="000000"/>
                <w:sz w:val="18"/>
                <w:szCs w:val="18"/>
                <w:lang w:val="es-ES"/>
              </w:rPr>
            </w:pPr>
            <w:r>
              <w:rPr>
                <w:rFonts w:asciiTheme="majorHAnsi" w:eastAsia="Times New Roman" w:hAnsiTheme="majorHAnsi" w:cstheme="majorHAnsi"/>
                <w:color w:val="000000"/>
                <w:sz w:val="18"/>
                <w:szCs w:val="18"/>
                <w:lang w:val="es-ES"/>
              </w:rPr>
              <w:t>100</w:t>
            </w:r>
            <w:r w:rsidR="00124057" w:rsidRPr="00124057">
              <w:rPr>
                <w:rFonts w:asciiTheme="majorHAnsi" w:eastAsia="Times New Roman" w:hAnsiTheme="majorHAnsi" w:cstheme="majorHAnsi"/>
                <w:color w:val="000000"/>
                <w:sz w:val="18"/>
                <w:szCs w:val="18"/>
                <w:lang w:val="es-ES"/>
              </w:rPr>
              <w:t>.00%</w:t>
            </w:r>
          </w:p>
        </w:tc>
        <w:tc>
          <w:tcPr>
            <w:tcW w:w="921" w:type="pct"/>
            <w:shd w:val="clear" w:color="000000" w:fill="FFFFFF"/>
            <w:noWrap/>
            <w:vAlign w:val="center"/>
          </w:tcPr>
          <w:p w14:paraId="4E7E315D"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124057" w:rsidRPr="00124057" w14:paraId="7952C413" w14:textId="77777777" w:rsidTr="00C17053">
        <w:trPr>
          <w:trHeight w:val="915"/>
        </w:trPr>
        <w:tc>
          <w:tcPr>
            <w:tcW w:w="1611" w:type="pct"/>
            <w:shd w:val="clear" w:color="000000" w:fill="FFFFFF"/>
          </w:tcPr>
          <w:p w14:paraId="209D7B00" w14:textId="77777777" w:rsidR="00124057" w:rsidRPr="00124057" w:rsidRDefault="00124057" w:rsidP="00124057">
            <w:pPr>
              <w:ind w:left="642" w:hanging="567"/>
              <w:jc w:val="both"/>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S278- Fomento regional de las capacidades científicas, tecnológicas y de innovación</w:t>
            </w:r>
          </w:p>
        </w:tc>
        <w:tc>
          <w:tcPr>
            <w:tcW w:w="887" w:type="pct"/>
            <w:shd w:val="clear" w:color="000000" w:fill="FFFFFF"/>
            <w:noWrap/>
            <w:vAlign w:val="center"/>
          </w:tcPr>
          <w:p w14:paraId="54847FB2" w14:textId="79376B7A"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859" w:type="pct"/>
            <w:shd w:val="clear" w:color="000000" w:fill="FFFFFF"/>
            <w:noWrap/>
            <w:vAlign w:val="center"/>
          </w:tcPr>
          <w:p w14:paraId="7A23C18D" w14:textId="77777777" w:rsidR="00124057" w:rsidRPr="00124057" w:rsidRDefault="00124057" w:rsidP="00124057">
            <w:pPr>
              <w:jc w:val="center"/>
              <w:rPr>
                <w:rFonts w:asciiTheme="majorHAnsi" w:eastAsia="Times New Roman" w:hAnsiTheme="majorHAnsi" w:cstheme="majorHAnsi"/>
                <w:color w:val="000000"/>
                <w:sz w:val="18"/>
                <w:szCs w:val="18"/>
                <w:lang w:val="es-ES"/>
              </w:rPr>
            </w:pPr>
          </w:p>
        </w:tc>
        <w:tc>
          <w:tcPr>
            <w:tcW w:w="721" w:type="pct"/>
            <w:shd w:val="clear" w:color="000000" w:fill="FFFFFF"/>
            <w:noWrap/>
            <w:vAlign w:val="center"/>
          </w:tcPr>
          <w:p w14:paraId="48C54205" w14:textId="5E23128B"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w:t>
            </w:r>
            <w:r w:rsidR="00C17053">
              <w:rPr>
                <w:rFonts w:asciiTheme="majorHAnsi" w:eastAsia="Times New Roman" w:hAnsiTheme="majorHAnsi" w:cstheme="majorHAnsi"/>
                <w:color w:val="000000"/>
                <w:sz w:val="18"/>
                <w:szCs w:val="18"/>
                <w:lang w:val="es-ES"/>
              </w:rPr>
              <w:t>0</w:t>
            </w:r>
            <w:r w:rsidRPr="00124057">
              <w:rPr>
                <w:rFonts w:asciiTheme="majorHAnsi" w:eastAsia="Times New Roman" w:hAnsiTheme="majorHAnsi" w:cstheme="majorHAnsi"/>
                <w:color w:val="000000"/>
                <w:sz w:val="18"/>
                <w:szCs w:val="18"/>
                <w:lang w:val="es-ES"/>
              </w:rPr>
              <w:t>.00%</w:t>
            </w:r>
          </w:p>
        </w:tc>
        <w:tc>
          <w:tcPr>
            <w:tcW w:w="921" w:type="pct"/>
            <w:shd w:val="clear" w:color="000000" w:fill="FFFFFF"/>
            <w:noWrap/>
            <w:vAlign w:val="center"/>
          </w:tcPr>
          <w:p w14:paraId="5282A723" w14:textId="77777777" w:rsidR="00124057" w:rsidRPr="00124057" w:rsidRDefault="00124057" w:rsidP="00124057">
            <w:pPr>
              <w:jc w:val="center"/>
              <w:rPr>
                <w:rFonts w:asciiTheme="majorHAnsi" w:eastAsia="Times New Roman" w:hAnsiTheme="majorHAnsi" w:cstheme="majorHAnsi"/>
                <w:color w:val="000000"/>
                <w:sz w:val="18"/>
                <w:szCs w:val="18"/>
                <w:lang w:val="es-ES"/>
              </w:rPr>
            </w:pPr>
            <w:r w:rsidRPr="00124057">
              <w:rPr>
                <w:rFonts w:asciiTheme="majorHAnsi" w:eastAsia="Times New Roman" w:hAnsiTheme="majorHAnsi" w:cstheme="majorHAnsi"/>
                <w:color w:val="000000"/>
                <w:sz w:val="18"/>
                <w:szCs w:val="18"/>
                <w:lang w:val="es-ES"/>
              </w:rPr>
              <w:t>100%</w:t>
            </w:r>
          </w:p>
        </w:tc>
      </w:tr>
      <w:tr w:rsidR="00124057" w:rsidRPr="00124057" w14:paraId="784E1C01" w14:textId="77777777" w:rsidTr="00C17053">
        <w:trPr>
          <w:trHeight w:val="315"/>
        </w:trPr>
        <w:tc>
          <w:tcPr>
            <w:tcW w:w="1611" w:type="pct"/>
            <w:shd w:val="clear" w:color="000000" w:fill="FFFFFF"/>
            <w:noWrap/>
            <w:vAlign w:val="bottom"/>
            <w:hideMark/>
          </w:tcPr>
          <w:p w14:paraId="3987DECB" w14:textId="77777777" w:rsidR="00124057" w:rsidRPr="00124057" w:rsidRDefault="00124057" w:rsidP="00124057">
            <w:pPr>
              <w:jc w:val="both"/>
              <w:rPr>
                <w:rFonts w:asciiTheme="majorHAnsi" w:eastAsia="Times New Roman" w:hAnsiTheme="majorHAnsi" w:cstheme="majorHAnsi"/>
                <w:b/>
                <w:bCs/>
                <w:color w:val="000000"/>
                <w:sz w:val="18"/>
                <w:szCs w:val="18"/>
                <w:lang w:val="es-ES"/>
              </w:rPr>
            </w:pPr>
            <w:r w:rsidRPr="00124057">
              <w:rPr>
                <w:rFonts w:asciiTheme="majorHAnsi" w:eastAsia="Times New Roman" w:hAnsiTheme="majorHAnsi" w:cstheme="majorHAnsi"/>
                <w:b/>
                <w:bCs/>
                <w:color w:val="000000"/>
                <w:sz w:val="18"/>
                <w:szCs w:val="18"/>
                <w:lang w:val="es-ES"/>
              </w:rPr>
              <w:t>Total</w:t>
            </w:r>
          </w:p>
        </w:tc>
        <w:tc>
          <w:tcPr>
            <w:tcW w:w="887" w:type="pct"/>
            <w:shd w:val="clear" w:color="000000" w:fill="FFFFFF"/>
            <w:noWrap/>
            <w:vAlign w:val="center"/>
            <w:hideMark/>
          </w:tcPr>
          <w:p w14:paraId="2C7ADC73" w14:textId="44096EB7" w:rsidR="00124057" w:rsidRPr="00124057" w:rsidRDefault="001D1376" w:rsidP="00124057">
            <w:pPr>
              <w:jc w:val="center"/>
              <w:rPr>
                <w:rFonts w:asciiTheme="majorHAnsi" w:eastAsia="Times New Roman" w:hAnsiTheme="majorHAnsi" w:cstheme="majorHAnsi"/>
                <w:b/>
                <w:bCs/>
                <w:color w:val="000000"/>
                <w:sz w:val="18"/>
                <w:szCs w:val="18"/>
                <w:lang w:val="es-ES"/>
              </w:rPr>
            </w:pPr>
            <w:r>
              <w:rPr>
                <w:rFonts w:asciiTheme="majorHAnsi" w:eastAsia="Times New Roman" w:hAnsiTheme="majorHAnsi" w:cstheme="majorHAnsi"/>
                <w:b/>
                <w:bCs/>
                <w:color w:val="000000"/>
                <w:sz w:val="18"/>
                <w:szCs w:val="18"/>
                <w:lang w:val="es-ES"/>
              </w:rPr>
              <w:t>53.85</w:t>
            </w:r>
            <w:r w:rsidR="00124057" w:rsidRPr="00124057">
              <w:rPr>
                <w:rFonts w:asciiTheme="majorHAnsi" w:eastAsia="Times New Roman" w:hAnsiTheme="majorHAnsi" w:cstheme="majorHAnsi"/>
                <w:b/>
                <w:bCs/>
                <w:color w:val="000000"/>
                <w:sz w:val="18"/>
                <w:szCs w:val="18"/>
                <w:lang w:val="es-ES"/>
              </w:rPr>
              <w:t>%</w:t>
            </w:r>
          </w:p>
        </w:tc>
        <w:tc>
          <w:tcPr>
            <w:tcW w:w="859" w:type="pct"/>
            <w:shd w:val="clear" w:color="000000" w:fill="FFFFFF"/>
            <w:noWrap/>
            <w:vAlign w:val="center"/>
          </w:tcPr>
          <w:p w14:paraId="0068054B" w14:textId="076CC7F8" w:rsidR="00124057" w:rsidRPr="00124057" w:rsidRDefault="00124057" w:rsidP="00124057">
            <w:pPr>
              <w:jc w:val="center"/>
              <w:rPr>
                <w:rFonts w:asciiTheme="majorHAnsi" w:eastAsia="Times New Roman" w:hAnsiTheme="majorHAnsi" w:cstheme="majorHAnsi"/>
                <w:b/>
                <w:bCs/>
                <w:color w:val="000000"/>
                <w:sz w:val="18"/>
                <w:szCs w:val="18"/>
                <w:lang w:val="es-ES"/>
              </w:rPr>
            </w:pPr>
          </w:p>
        </w:tc>
        <w:tc>
          <w:tcPr>
            <w:tcW w:w="721" w:type="pct"/>
            <w:shd w:val="clear" w:color="000000" w:fill="FFFFFF"/>
            <w:noWrap/>
            <w:vAlign w:val="center"/>
            <w:hideMark/>
          </w:tcPr>
          <w:p w14:paraId="319FB5BC" w14:textId="2D9E2E2D" w:rsidR="00124057" w:rsidRPr="00124057" w:rsidRDefault="001D1376" w:rsidP="001D1376">
            <w:pPr>
              <w:jc w:val="center"/>
              <w:rPr>
                <w:rFonts w:asciiTheme="majorHAnsi" w:eastAsia="Times New Roman" w:hAnsiTheme="majorHAnsi" w:cstheme="majorHAnsi"/>
                <w:b/>
                <w:bCs/>
                <w:color w:val="000000"/>
                <w:sz w:val="18"/>
                <w:szCs w:val="18"/>
                <w:lang w:val="es-ES"/>
              </w:rPr>
            </w:pPr>
            <w:r>
              <w:rPr>
                <w:rFonts w:asciiTheme="majorHAnsi" w:eastAsia="Times New Roman" w:hAnsiTheme="majorHAnsi" w:cstheme="majorHAnsi"/>
                <w:b/>
                <w:bCs/>
                <w:color w:val="000000"/>
                <w:sz w:val="18"/>
                <w:szCs w:val="18"/>
                <w:lang w:val="es-ES"/>
              </w:rPr>
              <w:t>46.15</w:t>
            </w:r>
            <w:r w:rsidR="00124057" w:rsidRPr="00124057">
              <w:rPr>
                <w:rFonts w:asciiTheme="majorHAnsi" w:eastAsia="Times New Roman" w:hAnsiTheme="majorHAnsi" w:cstheme="majorHAnsi"/>
                <w:b/>
                <w:bCs/>
                <w:color w:val="000000"/>
                <w:sz w:val="18"/>
                <w:szCs w:val="18"/>
                <w:lang w:val="es-ES"/>
              </w:rPr>
              <w:t>%</w:t>
            </w:r>
          </w:p>
        </w:tc>
        <w:tc>
          <w:tcPr>
            <w:tcW w:w="921" w:type="pct"/>
            <w:shd w:val="clear" w:color="000000" w:fill="FFFFFF"/>
            <w:noWrap/>
            <w:vAlign w:val="center"/>
            <w:hideMark/>
          </w:tcPr>
          <w:p w14:paraId="570BBC92" w14:textId="77777777" w:rsidR="00124057" w:rsidRPr="00124057" w:rsidRDefault="00124057" w:rsidP="00124057">
            <w:pPr>
              <w:jc w:val="center"/>
              <w:rPr>
                <w:rFonts w:asciiTheme="majorHAnsi" w:eastAsia="Times New Roman" w:hAnsiTheme="majorHAnsi" w:cstheme="majorHAnsi"/>
                <w:b/>
                <w:bCs/>
                <w:color w:val="000000"/>
                <w:sz w:val="18"/>
                <w:szCs w:val="18"/>
                <w:lang w:val="es-ES"/>
              </w:rPr>
            </w:pPr>
            <w:r w:rsidRPr="00124057">
              <w:rPr>
                <w:rFonts w:asciiTheme="majorHAnsi" w:eastAsia="Times New Roman" w:hAnsiTheme="majorHAnsi" w:cstheme="majorHAnsi"/>
                <w:b/>
                <w:bCs/>
                <w:color w:val="000000"/>
                <w:sz w:val="18"/>
                <w:szCs w:val="18"/>
                <w:lang w:val="es-ES"/>
              </w:rPr>
              <w:t>100.0%</w:t>
            </w:r>
          </w:p>
        </w:tc>
      </w:tr>
    </w:tbl>
    <w:p w14:paraId="679552F0" w14:textId="77777777" w:rsidR="00124057" w:rsidRPr="00124057" w:rsidRDefault="00124057" w:rsidP="00124057">
      <w:pPr>
        <w:spacing w:before="120" w:after="120"/>
        <w:jc w:val="both"/>
        <w:rPr>
          <w:rFonts w:asciiTheme="majorHAnsi" w:eastAsia="Times New Roman" w:hAnsiTheme="majorHAnsi" w:cstheme="majorHAnsi"/>
          <w:color w:val="000000"/>
          <w:sz w:val="20"/>
          <w:szCs w:val="20"/>
          <w:lang w:eastAsia="es-MX"/>
        </w:rPr>
      </w:pPr>
      <w:r w:rsidRPr="00124057">
        <w:rPr>
          <w:rFonts w:asciiTheme="majorHAnsi" w:eastAsia="Times New Roman" w:hAnsiTheme="majorHAnsi" w:cstheme="majorHAnsi"/>
          <w:color w:val="000000"/>
          <w:sz w:val="20"/>
          <w:szCs w:val="20"/>
          <w:lang w:eastAsia="es-MX"/>
        </w:rPr>
        <w:t>Fuente: Elaboración propia</w:t>
      </w:r>
    </w:p>
    <w:p w14:paraId="669BB5B3" w14:textId="77777777" w:rsidR="00124057" w:rsidRPr="00124057" w:rsidRDefault="00124057" w:rsidP="00124057">
      <w:pPr>
        <w:spacing w:before="120" w:after="120"/>
        <w:jc w:val="center"/>
        <w:rPr>
          <w:rFonts w:asciiTheme="majorHAnsi" w:eastAsia="Times New Roman" w:hAnsiTheme="majorHAnsi" w:cstheme="majorHAnsi"/>
          <w:color w:val="000000"/>
          <w:lang w:eastAsia="es-MX"/>
        </w:rPr>
      </w:pPr>
    </w:p>
    <w:p w14:paraId="7E967F2C" w14:textId="6DD6BF5A" w:rsidR="00124057" w:rsidRDefault="00124057" w:rsidP="00124057">
      <w:pPr>
        <w:spacing w:before="120" w:after="120"/>
        <w:jc w:val="center"/>
        <w:rPr>
          <w:rFonts w:asciiTheme="majorHAnsi" w:eastAsia="Times New Roman" w:hAnsiTheme="majorHAnsi" w:cstheme="majorHAnsi"/>
          <w:color w:val="000000"/>
          <w:lang w:eastAsia="es-MX"/>
        </w:rPr>
      </w:pPr>
    </w:p>
    <w:p w14:paraId="6277D45B" w14:textId="2A1AA038" w:rsidR="00745CFF" w:rsidRDefault="00745CFF" w:rsidP="00124057">
      <w:pPr>
        <w:spacing w:before="120" w:after="120"/>
        <w:jc w:val="center"/>
        <w:rPr>
          <w:rFonts w:asciiTheme="majorHAnsi" w:eastAsia="Times New Roman" w:hAnsiTheme="majorHAnsi" w:cstheme="majorHAnsi"/>
          <w:color w:val="000000"/>
          <w:lang w:eastAsia="es-MX"/>
        </w:rPr>
      </w:pPr>
    </w:p>
    <w:p w14:paraId="5A81532B" w14:textId="2E6075C2" w:rsidR="00745CFF" w:rsidRDefault="00745CFF" w:rsidP="00124057">
      <w:pPr>
        <w:spacing w:before="120" w:after="120"/>
        <w:jc w:val="center"/>
        <w:rPr>
          <w:rFonts w:asciiTheme="majorHAnsi" w:eastAsia="Times New Roman" w:hAnsiTheme="majorHAnsi" w:cstheme="majorHAnsi"/>
          <w:color w:val="000000"/>
          <w:lang w:eastAsia="es-MX"/>
        </w:rPr>
      </w:pPr>
    </w:p>
    <w:p w14:paraId="459264D9" w14:textId="1C33BCB7" w:rsidR="00745CFF" w:rsidRDefault="00745CFF" w:rsidP="00124057">
      <w:pPr>
        <w:spacing w:before="120" w:after="120"/>
        <w:jc w:val="center"/>
        <w:rPr>
          <w:rFonts w:asciiTheme="majorHAnsi" w:eastAsia="Times New Roman" w:hAnsiTheme="majorHAnsi" w:cstheme="majorHAnsi"/>
          <w:color w:val="000000"/>
          <w:lang w:eastAsia="es-MX"/>
        </w:rPr>
      </w:pPr>
    </w:p>
    <w:p w14:paraId="07DB70D5" w14:textId="77777777" w:rsidR="00745CFF" w:rsidRPr="00124057" w:rsidRDefault="00745CFF" w:rsidP="00124057">
      <w:pPr>
        <w:spacing w:before="120" w:after="120"/>
        <w:jc w:val="center"/>
        <w:rPr>
          <w:rFonts w:asciiTheme="majorHAnsi" w:eastAsia="Times New Roman" w:hAnsiTheme="majorHAnsi" w:cstheme="majorHAnsi"/>
          <w:color w:val="000000"/>
          <w:lang w:eastAsia="es-MX"/>
        </w:rPr>
      </w:pPr>
    </w:p>
    <w:p w14:paraId="217E190B" w14:textId="77777777" w:rsidR="001D1376" w:rsidRDefault="001D1376" w:rsidP="00124057">
      <w:pPr>
        <w:spacing w:before="120" w:after="120"/>
        <w:jc w:val="center"/>
        <w:rPr>
          <w:rFonts w:asciiTheme="majorHAnsi" w:eastAsia="Times New Roman" w:hAnsiTheme="majorHAnsi" w:cstheme="majorHAnsi"/>
          <w:b/>
          <w:color w:val="000000"/>
          <w:lang w:eastAsia="es-MX"/>
        </w:rPr>
      </w:pPr>
    </w:p>
    <w:p w14:paraId="1CE4FF6A" w14:textId="77777777" w:rsidR="001D1376" w:rsidRDefault="001D1376" w:rsidP="00124057">
      <w:pPr>
        <w:spacing w:before="120" w:after="120"/>
        <w:jc w:val="center"/>
        <w:rPr>
          <w:rFonts w:asciiTheme="majorHAnsi" w:eastAsia="Times New Roman" w:hAnsiTheme="majorHAnsi" w:cstheme="majorHAnsi"/>
          <w:b/>
          <w:color w:val="000000"/>
          <w:lang w:eastAsia="es-MX"/>
        </w:rPr>
      </w:pPr>
    </w:p>
    <w:p w14:paraId="36A78BDB" w14:textId="77777777" w:rsidR="001D1376" w:rsidRDefault="001D1376" w:rsidP="00124057">
      <w:pPr>
        <w:spacing w:before="120" w:after="120"/>
        <w:jc w:val="center"/>
        <w:rPr>
          <w:rFonts w:asciiTheme="majorHAnsi" w:eastAsia="Times New Roman" w:hAnsiTheme="majorHAnsi" w:cstheme="majorHAnsi"/>
          <w:b/>
          <w:color w:val="000000"/>
          <w:lang w:eastAsia="es-MX"/>
        </w:rPr>
      </w:pPr>
    </w:p>
    <w:p w14:paraId="0E130CD7" w14:textId="77777777" w:rsidR="001D1376" w:rsidRDefault="001D1376" w:rsidP="00124057">
      <w:pPr>
        <w:spacing w:before="120" w:after="120"/>
        <w:jc w:val="center"/>
        <w:rPr>
          <w:rFonts w:asciiTheme="majorHAnsi" w:eastAsia="Times New Roman" w:hAnsiTheme="majorHAnsi" w:cstheme="majorHAnsi"/>
          <w:b/>
          <w:color w:val="000000"/>
          <w:lang w:eastAsia="es-MX"/>
        </w:rPr>
      </w:pPr>
    </w:p>
    <w:p w14:paraId="35DC342A" w14:textId="77777777" w:rsidR="001D1376" w:rsidRDefault="001D1376" w:rsidP="00124057">
      <w:pPr>
        <w:spacing w:before="120" w:after="120"/>
        <w:jc w:val="center"/>
        <w:rPr>
          <w:rFonts w:asciiTheme="majorHAnsi" w:eastAsia="Times New Roman" w:hAnsiTheme="majorHAnsi" w:cstheme="majorHAnsi"/>
          <w:b/>
          <w:color w:val="000000"/>
          <w:lang w:eastAsia="es-MX"/>
        </w:rPr>
      </w:pPr>
    </w:p>
    <w:p w14:paraId="6F89E43C" w14:textId="77777777" w:rsidR="001D1376" w:rsidRDefault="001D1376" w:rsidP="00124057">
      <w:pPr>
        <w:spacing w:before="120" w:after="120"/>
        <w:jc w:val="center"/>
        <w:rPr>
          <w:rFonts w:asciiTheme="majorHAnsi" w:eastAsia="Times New Roman" w:hAnsiTheme="majorHAnsi" w:cstheme="majorHAnsi"/>
          <w:b/>
          <w:color w:val="000000"/>
          <w:lang w:eastAsia="es-MX"/>
        </w:rPr>
      </w:pPr>
    </w:p>
    <w:p w14:paraId="3272DA74" w14:textId="77777777" w:rsidR="001D1376" w:rsidRDefault="001D1376" w:rsidP="00124057">
      <w:pPr>
        <w:spacing w:before="120" w:after="120"/>
        <w:jc w:val="center"/>
        <w:rPr>
          <w:rFonts w:asciiTheme="majorHAnsi" w:eastAsia="Times New Roman" w:hAnsiTheme="majorHAnsi" w:cstheme="majorHAnsi"/>
          <w:b/>
          <w:color w:val="000000"/>
          <w:lang w:eastAsia="es-MX"/>
        </w:rPr>
      </w:pPr>
    </w:p>
    <w:p w14:paraId="7F9BE184" w14:textId="77777777" w:rsidR="001D1376" w:rsidRDefault="001D1376" w:rsidP="00124057">
      <w:pPr>
        <w:spacing w:before="120" w:after="120"/>
        <w:jc w:val="center"/>
        <w:rPr>
          <w:rFonts w:asciiTheme="majorHAnsi" w:eastAsia="Times New Roman" w:hAnsiTheme="majorHAnsi" w:cstheme="majorHAnsi"/>
          <w:b/>
          <w:color w:val="000000"/>
          <w:lang w:eastAsia="es-MX"/>
        </w:rPr>
      </w:pPr>
    </w:p>
    <w:p w14:paraId="6E99B172" w14:textId="7B3371A6" w:rsidR="00124057" w:rsidRPr="00124057" w:rsidRDefault="00124057" w:rsidP="00124057">
      <w:pPr>
        <w:spacing w:before="120" w:after="120"/>
        <w:jc w:val="center"/>
        <w:rPr>
          <w:rFonts w:asciiTheme="majorHAnsi" w:eastAsia="Times New Roman" w:hAnsiTheme="majorHAnsi" w:cstheme="majorHAnsi"/>
          <w:color w:val="000000"/>
          <w:lang w:eastAsia="es-MX"/>
        </w:rPr>
      </w:pPr>
      <w:r w:rsidRPr="00124057">
        <w:rPr>
          <w:rFonts w:asciiTheme="majorHAnsi" w:eastAsia="Times New Roman" w:hAnsiTheme="majorHAnsi" w:cstheme="majorHAnsi"/>
          <w:b/>
          <w:color w:val="000000"/>
          <w:lang w:eastAsia="es-MX"/>
        </w:rPr>
        <w:lastRenderedPageBreak/>
        <w:t>Cuadro 4.</w:t>
      </w:r>
      <w:r w:rsidRPr="00124057">
        <w:rPr>
          <w:rFonts w:asciiTheme="majorHAnsi" w:eastAsia="Times New Roman" w:hAnsiTheme="majorHAnsi" w:cstheme="majorHAnsi"/>
          <w:color w:val="000000"/>
          <w:lang w:eastAsia="es-MX"/>
        </w:rPr>
        <w:t xml:space="preserve"> Cum</w:t>
      </w:r>
      <w:r w:rsidR="001D1376">
        <w:rPr>
          <w:rFonts w:asciiTheme="majorHAnsi" w:eastAsia="Times New Roman" w:hAnsiTheme="majorHAnsi" w:cstheme="majorHAnsi"/>
          <w:color w:val="000000"/>
          <w:lang w:eastAsia="es-MX"/>
        </w:rPr>
        <w:t>plimiento de las metas al primer trimestre de 2019</w:t>
      </w:r>
      <w:r w:rsidRPr="00124057">
        <w:rPr>
          <w:rFonts w:asciiTheme="majorHAnsi" w:eastAsia="Times New Roman" w:hAnsiTheme="majorHAnsi" w:cstheme="majorHAnsi"/>
          <w:color w:val="000000"/>
          <w:lang w:eastAsia="es-MX"/>
        </w:rPr>
        <w:t xml:space="preserve"> de los Indicadores de las MIR de los programas del CONACYT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1471"/>
        <w:gridCol w:w="1088"/>
        <w:gridCol w:w="931"/>
        <w:gridCol w:w="778"/>
        <w:gridCol w:w="1088"/>
        <w:gridCol w:w="3622"/>
      </w:tblGrid>
      <w:tr w:rsidR="00124057" w:rsidRPr="00124057" w14:paraId="7D51B8F8" w14:textId="77777777" w:rsidTr="00C422E4">
        <w:trPr>
          <w:cantSplit/>
        </w:trPr>
        <w:tc>
          <w:tcPr>
            <w:tcW w:w="362" w:type="pct"/>
            <w:shd w:val="clear" w:color="000000" w:fill="BFBFBF"/>
            <w:vAlign w:val="center"/>
            <w:hideMark/>
          </w:tcPr>
          <w:p w14:paraId="19394300"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Pp</w:t>
            </w:r>
          </w:p>
        </w:tc>
        <w:tc>
          <w:tcPr>
            <w:tcW w:w="760" w:type="pct"/>
            <w:shd w:val="clear" w:color="000000" w:fill="BFBFBF"/>
            <w:vAlign w:val="center"/>
            <w:hideMark/>
          </w:tcPr>
          <w:p w14:paraId="44CC0FB9"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Nombre del Indicador</w:t>
            </w:r>
          </w:p>
        </w:tc>
        <w:tc>
          <w:tcPr>
            <w:tcW w:w="562" w:type="pct"/>
            <w:shd w:val="clear" w:color="000000" w:fill="BFBFBF"/>
            <w:vAlign w:val="center"/>
            <w:hideMark/>
          </w:tcPr>
          <w:p w14:paraId="6383F2F0"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Meta programada</w:t>
            </w:r>
          </w:p>
        </w:tc>
        <w:tc>
          <w:tcPr>
            <w:tcW w:w="481" w:type="pct"/>
            <w:shd w:val="clear" w:color="000000" w:fill="BFBFBF"/>
            <w:vAlign w:val="center"/>
            <w:hideMark/>
          </w:tcPr>
          <w:p w14:paraId="580BCD02"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Meta alcanzada</w:t>
            </w:r>
          </w:p>
        </w:tc>
        <w:tc>
          <w:tcPr>
            <w:tcW w:w="402" w:type="pct"/>
            <w:shd w:val="clear" w:color="000000" w:fill="BFBFBF"/>
            <w:vAlign w:val="center"/>
            <w:hideMark/>
          </w:tcPr>
          <w:p w14:paraId="57C4AE2D"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 xml:space="preserve">Cumplimiento </w:t>
            </w:r>
          </w:p>
        </w:tc>
        <w:tc>
          <w:tcPr>
            <w:tcW w:w="562" w:type="pct"/>
            <w:shd w:val="clear" w:color="000000" w:fill="BFBFBF"/>
            <w:vAlign w:val="center"/>
            <w:hideMark/>
          </w:tcPr>
          <w:p w14:paraId="2F5AD621"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Semaforización</w:t>
            </w:r>
          </w:p>
        </w:tc>
        <w:tc>
          <w:tcPr>
            <w:tcW w:w="1871" w:type="pct"/>
            <w:shd w:val="clear" w:color="000000" w:fill="BFBFBF"/>
            <w:vAlign w:val="center"/>
            <w:hideMark/>
          </w:tcPr>
          <w:p w14:paraId="4AD58B67" w14:textId="77777777" w:rsidR="00124057" w:rsidRPr="00124057" w:rsidRDefault="00124057" w:rsidP="00124057">
            <w:pPr>
              <w:spacing w:before="120" w:after="120"/>
              <w:jc w:val="center"/>
              <w:rPr>
                <w:rFonts w:asciiTheme="majorHAnsi" w:eastAsia="Times New Roman" w:hAnsiTheme="majorHAnsi" w:cstheme="majorHAnsi"/>
                <w:b/>
                <w:bCs/>
                <w:color w:val="000000"/>
                <w:sz w:val="16"/>
                <w:szCs w:val="16"/>
                <w:lang w:val="es-ES" w:eastAsia="es-MX"/>
              </w:rPr>
            </w:pPr>
            <w:r w:rsidRPr="00124057">
              <w:rPr>
                <w:rFonts w:asciiTheme="majorHAnsi" w:eastAsia="Times New Roman" w:hAnsiTheme="majorHAnsi" w:cstheme="majorHAnsi"/>
                <w:b/>
                <w:bCs/>
                <w:color w:val="000000"/>
                <w:sz w:val="16"/>
                <w:szCs w:val="16"/>
                <w:lang w:val="es-ES" w:eastAsia="es-MX"/>
              </w:rPr>
              <w:t>Causas, riesgos y acciones específicas a seguir para su regularización</w:t>
            </w:r>
          </w:p>
        </w:tc>
      </w:tr>
      <w:tr w:rsidR="00124057" w:rsidRPr="00124057" w14:paraId="76FA06C1" w14:textId="77777777" w:rsidTr="00C422E4">
        <w:trPr>
          <w:cantSplit/>
        </w:trPr>
        <w:tc>
          <w:tcPr>
            <w:tcW w:w="362" w:type="pct"/>
            <w:shd w:val="clear" w:color="auto" w:fill="auto"/>
            <w:vAlign w:val="center"/>
          </w:tcPr>
          <w:p w14:paraId="3A356683" w14:textId="77777777" w:rsidR="00124057" w:rsidRPr="00124057" w:rsidRDefault="00124057" w:rsidP="00124057">
            <w:pPr>
              <w:spacing w:before="120" w:after="120"/>
              <w:jc w:val="center"/>
              <w:rPr>
                <w:rFonts w:ascii="Calibri" w:hAnsi="Calibri" w:cs="Calibri"/>
                <w:color w:val="000000"/>
                <w:sz w:val="16"/>
                <w:szCs w:val="16"/>
              </w:rPr>
            </w:pPr>
            <w:r w:rsidRPr="00124057">
              <w:rPr>
                <w:rFonts w:ascii="Calibri" w:hAnsi="Calibri" w:cs="Calibri"/>
                <w:color w:val="000000"/>
                <w:sz w:val="16"/>
                <w:szCs w:val="16"/>
              </w:rPr>
              <w:t>F002</w:t>
            </w:r>
          </w:p>
        </w:tc>
        <w:tc>
          <w:tcPr>
            <w:tcW w:w="760" w:type="pct"/>
            <w:shd w:val="clear" w:color="auto" w:fill="auto"/>
            <w:vAlign w:val="center"/>
          </w:tcPr>
          <w:p w14:paraId="2DAA8D40" w14:textId="77777777" w:rsidR="00124057" w:rsidRPr="00124057" w:rsidRDefault="00124057" w:rsidP="00124057">
            <w:pPr>
              <w:spacing w:before="120" w:after="120"/>
              <w:jc w:val="center"/>
              <w:rPr>
                <w:rFonts w:ascii="Calibri" w:hAnsi="Calibri" w:cs="Calibri"/>
                <w:color w:val="000000"/>
                <w:sz w:val="16"/>
                <w:szCs w:val="16"/>
              </w:rPr>
            </w:pPr>
            <w:r w:rsidRPr="00124057">
              <w:rPr>
                <w:rFonts w:ascii="Calibri" w:hAnsi="Calibri" w:cs="Calibri"/>
                <w:color w:val="000000"/>
                <w:sz w:val="16"/>
                <w:szCs w:val="16"/>
              </w:rPr>
              <w:t>Porcentaje de recursos ministrados</w:t>
            </w:r>
          </w:p>
        </w:tc>
        <w:tc>
          <w:tcPr>
            <w:tcW w:w="562" w:type="pct"/>
            <w:shd w:val="clear" w:color="auto" w:fill="auto"/>
            <w:vAlign w:val="center"/>
          </w:tcPr>
          <w:p w14:paraId="02F9AC0B" w14:textId="05962321" w:rsidR="00124057" w:rsidRPr="00124057" w:rsidRDefault="001D1376" w:rsidP="00124057">
            <w:pPr>
              <w:spacing w:before="120" w:after="120"/>
              <w:jc w:val="center"/>
              <w:rPr>
                <w:rFonts w:ascii="Calibri" w:hAnsi="Calibri" w:cs="Calibri"/>
                <w:color w:val="000000"/>
                <w:sz w:val="16"/>
                <w:szCs w:val="16"/>
              </w:rPr>
            </w:pPr>
            <w:r>
              <w:rPr>
                <w:rFonts w:ascii="Calibri" w:hAnsi="Calibri" w:cs="Calibri"/>
                <w:color w:val="000000"/>
                <w:sz w:val="16"/>
                <w:szCs w:val="16"/>
              </w:rPr>
              <w:t>27.</w:t>
            </w:r>
            <w:r w:rsidR="00124057" w:rsidRPr="00124057">
              <w:rPr>
                <w:rFonts w:ascii="Calibri" w:hAnsi="Calibri" w:cs="Calibri"/>
                <w:color w:val="000000"/>
                <w:sz w:val="16"/>
                <w:szCs w:val="16"/>
              </w:rPr>
              <w:t>00</w:t>
            </w:r>
          </w:p>
        </w:tc>
        <w:tc>
          <w:tcPr>
            <w:tcW w:w="481" w:type="pct"/>
            <w:shd w:val="clear" w:color="auto" w:fill="auto"/>
            <w:vAlign w:val="center"/>
          </w:tcPr>
          <w:p w14:paraId="3F49C2AA" w14:textId="1BFC6CB3" w:rsidR="00124057" w:rsidRPr="00124057" w:rsidRDefault="001D1376" w:rsidP="001D1376">
            <w:pPr>
              <w:spacing w:before="120" w:after="120"/>
              <w:jc w:val="center"/>
              <w:rPr>
                <w:rFonts w:ascii="Calibri" w:hAnsi="Calibri" w:cs="Calibri"/>
                <w:color w:val="000000"/>
                <w:sz w:val="16"/>
                <w:szCs w:val="16"/>
              </w:rPr>
            </w:pPr>
            <w:r>
              <w:rPr>
                <w:rFonts w:ascii="Calibri" w:hAnsi="Calibri" w:cs="Calibri"/>
                <w:color w:val="000000"/>
                <w:sz w:val="16"/>
                <w:szCs w:val="16"/>
              </w:rPr>
              <w:t>85</w:t>
            </w:r>
            <w:r w:rsidR="00124057" w:rsidRPr="00124057">
              <w:rPr>
                <w:rFonts w:ascii="Calibri" w:hAnsi="Calibri" w:cs="Calibri"/>
                <w:color w:val="000000"/>
                <w:sz w:val="16"/>
                <w:szCs w:val="16"/>
              </w:rPr>
              <w:t>.</w:t>
            </w:r>
            <w:r>
              <w:rPr>
                <w:rFonts w:ascii="Calibri" w:hAnsi="Calibri" w:cs="Calibri"/>
                <w:color w:val="000000"/>
                <w:sz w:val="16"/>
                <w:szCs w:val="16"/>
              </w:rPr>
              <w:t>17</w:t>
            </w:r>
          </w:p>
        </w:tc>
        <w:tc>
          <w:tcPr>
            <w:tcW w:w="402" w:type="pct"/>
            <w:shd w:val="clear" w:color="auto" w:fill="auto"/>
            <w:vAlign w:val="center"/>
          </w:tcPr>
          <w:p w14:paraId="0BBDD518" w14:textId="6BFAF2E8" w:rsidR="00124057" w:rsidRPr="00124057" w:rsidRDefault="00B72471" w:rsidP="00124057">
            <w:pPr>
              <w:spacing w:before="120" w:after="120"/>
              <w:jc w:val="center"/>
              <w:rPr>
                <w:rFonts w:ascii="Calibri" w:hAnsi="Calibri" w:cs="Calibri"/>
                <w:sz w:val="16"/>
                <w:szCs w:val="16"/>
              </w:rPr>
            </w:pPr>
            <w:r>
              <w:rPr>
                <w:rFonts w:ascii="Calibri" w:hAnsi="Calibri" w:cs="Calibri"/>
                <w:sz w:val="16"/>
                <w:szCs w:val="16"/>
              </w:rPr>
              <w:t>315.44</w:t>
            </w:r>
          </w:p>
        </w:tc>
        <w:tc>
          <w:tcPr>
            <w:tcW w:w="562" w:type="pct"/>
            <w:shd w:val="clear" w:color="auto" w:fill="auto"/>
            <w:noWrap/>
            <w:vAlign w:val="center"/>
          </w:tcPr>
          <w:p w14:paraId="0CA4C254" w14:textId="5159623C" w:rsidR="00124057" w:rsidRPr="00124057" w:rsidRDefault="001D1376" w:rsidP="00124057">
            <w:pPr>
              <w:spacing w:before="120" w:after="120"/>
              <w:jc w:val="center"/>
              <w:rPr>
                <w:rFonts w:asciiTheme="majorHAnsi" w:eastAsia="Times New Roman" w:hAnsiTheme="majorHAnsi" w:cstheme="majorHAnsi"/>
                <w:noProof/>
                <w:color w:val="000000"/>
                <w:sz w:val="16"/>
                <w:szCs w:val="16"/>
                <w:lang w:val="es-MX" w:eastAsia="es-MX"/>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73952" behindDoc="0" locked="0" layoutInCell="1" allowOverlap="1" wp14:anchorId="6D1A65B8" wp14:editId="1EF9FC80">
                      <wp:simplePos x="0" y="0"/>
                      <wp:positionH relativeFrom="column">
                        <wp:posOffset>238125</wp:posOffset>
                      </wp:positionH>
                      <wp:positionV relativeFrom="paragraph">
                        <wp:posOffset>90170</wp:posOffset>
                      </wp:positionV>
                      <wp:extent cx="179705" cy="179705"/>
                      <wp:effectExtent l="57150" t="19050" r="10795" b="86995"/>
                      <wp:wrapNone/>
                      <wp:docPr id="8" name="Elipse 8"/>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73E75" id="Elipse 8" o:spid="_x0000_s1026" style="position:absolute;margin-left:18.75pt;margin-top:7.1pt;width:14.15pt;height: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NnvQIAAK8FAAAOAAAAZHJzL2Uyb0RvYy54bWysVM1u2zAMvg/YOwi6r47TZG2COkXWLMOA&#10;ri2WDj0zshwLkCVNUuK0Tz9Sdtp03S7DfJBJkSI//l5c7hvNdtIHZU3B85MBZ9IIWyqzKfiP++WH&#10;c85CBFOCtkYW/FEGfjl7/+6idVM5tLXVpfQMjZgwbV3B6xjdNMuCqGUD4cQ6aVBYWd9ARNZvstJD&#10;i9YbnQ0Hg49Za33pvBUyBLxddEI+S/arSop4W1VBRqYLjthiOn0613RmswuYbjy4WokeBvwDigaU&#10;QafPphYQgW29emOqUcLbYKt4ImyT2apSQqYYMJp88Fs0qxqcTLFgcoJ7TlP4f2bFze7OM1UWHAtl&#10;oMESfdbKBcnOKTetC1NUWbk733MBSQp0X/mG/hgC26d8Pj7nU+4jE3iZn03OBmPOBIp6Gq1kL4+d&#10;D/GLtA0jouBSJ9cpkbC7DrHTPmiRu2C1KpdK68T4zfpKe7YDrO5yOcCPQKODV2rasLbgk/GQoAA2&#10;WaUhItk4DDuYDWegN9i9Ivrk+tXjcOxjtDzPPy06pRpK2XmejHvH6BfiN1t21/ngcE+AOjNvwVFw&#10;Cwh19ya57mPQhmKUqYkxFynZ2yj9qi5bttZb/x0Q/yhFzUpFCRyeEhJksMPHSYKct/FBxTo1E5Xo&#10;TebIAj6je9Cuhg7K6V/Q2wOGFMsRvIyapWsPota2fMTWQu+pO4ITS4WxXkOId+BxyBAaLo54i0el&#10;LVbI9hRntfVPf7onfex9lHLW4tBi+X5uwUvO9FeDUzHJRyOa8sSMxmdDCv9Ysj6WmG1zZbFzclxR&#10;TiSS9KM+kJW3zQPulzl5RREYgb67RumZq9gtE9xQQs7nSQ0n20G8NisnyDjllap8v38A7/pWjzgj&#10;N/Yw4Jj41+3e6dJLY+fbaCuVZuElr5h8YnArpDL0G4zWzjGftF727OwXAAAA//8DAFBLAwQUAAYA&#10;CAAAACEAwjVu+t0AAAAHAQAADwAAAGRycy9kb3ducmV2LnhtbEyPwU7DMBBE70j8g7VIXBB1SJsC&#10;IU6FEHBuS4Xg5sZLHBGvI9ttAl/PcoLj7Ixm3laryfXiiCF2nhRczTIQSI03HbUKdi9PlzcgYtJk&#10;dO8JFXxhhFV9elLp0viRNnjcplZwCcVSK7ApDaWUsbHodJz5AYm9Dx+cTixDK03QI5e7XuZZtpRO&#10;d8QLVg/4YLH53B6cAp9vHk16C992LN5fL3bPa3k7Xyt1fjbd34FIOKW/MPziMzrUzLT3BzJR9Arm&#10;1wUn+b7IQbC/LPiTvYJFXoCsK/mfv/4BAAD//wMAUEsBAi0AFAAGAAgAAAAhALaDOJL+AAAA4QEA&#10;ABMAAAAAAAAAAAAAAAAAAAAAAFtDb250ZW50X1R5cGVzXS54bWxQSwECLQAUAAYACAAAACEAOP0h&#10;/9YAAACUAQAACwAAAAAAAAAAAAAAAAAvAQAAX3JlbHMvLnJlbHNQSwECLQAUAAYACAAAACEAmJKD&#10;Z70CAACvBQAADgAAAAAAAAAAAAAAAAAuAgAAZHJzL2Uyb0RvYy54bWxQSwECLQAUAAYACAAAACEA&#10;wjVu+t0AAAAHAQAADwAAAAAAAAAAAAAAAAAXBQAAZHJzL2Rvd25yZXYueG1sUEsFBgAAAAAEAAQA&#10;8wAAACEGAAAAAA==&#10;" fillcolor="red" strokecolor="#4a7ebb">
                      <v:shadow on="t" color="black" opacity="22937f" origin=",.5" offset="0,.63889mm"/>
                    </v:oval>
                  </w:pict>
                </mc:Fallback>
              </mc:AlternateContent>
            </w:r>
          </w:p>
        </w:tc>
        <w:tc>
          <w:tcPr>
            <w:tcW w:w="1871" w:type="pct"/>
            <w:shd w:val="clear" w:color="auto" w:fill="auto"/>
          </w:tcPr>
          <w:p w14:paraId="7D03D544" w14:textId="77777777" w:rsidR="001D1376" w:rsidRPr="001D1376" w:rsidRDefault="001D1376" w:rsidP="001D1376">
            <w:pPr>
              <w:spacing w:before="120" w:after="120"/>
              <w:jc w:val="center"/>
              <w:rPr>
                <w:rFonts w:ascii="Calibri" w:hAnsi="Calibri" w:cs="Calibri"/>
                <w:sz w:val="16"/>
                <w:szCs w:val="16"/>
              </w:rPr>
            </w:pPr>
            <w:r w:rsidRPr="001D1376">
              <w:rPr>
                <w:rFonts w:ascii="Calibri" w:hAnsi="Calibri" w:cs="Calibri"/>
                <w:sz w:val="16"/>
                <w:szCs w:val="16"/>
              </w:rPr>
              <w:t>Causa: "*Debido a que los fondos CONACYT son multianuales, el patrimonio de los mismos se conforma por las aportaciones recibidas a lo largo del tiempo, el patrimonio del FOINS y FONCICYT es distinto a lo que era cuando se calcularon las metas.</w:t>
            </w:r>
          </w:p>
          <w:p w14:paraId="17198EC3" w14:textId="77777777" w:rsidR="001D1376" w:rsidRPr="001D1376" w:rsidRDefault="001D1376" w:rsidP="001D1376">
            <w:pPr>
              <w:spacing w:before="120" w:after="120"/>
              <w:jc w:val="center"/>
              <w:rPr>
                <w:rFonts w:ascii="Calibri" w:hAnsi="Calibri" w:cs="Calibri"/>
                <w:sz w:val="16"/>
                <w:szCs w:val="16"/>
              </w:rPr>
            </w:pPr>
            <w:r w:rsidRPr="001D1376">
              <w:rPr>
                <w:rFonts w:ascii="Calibri" w:hAnsi="Calibri" w:cs="Calibri"/>
                <w:sz w:val="16"/>
                <w:szCs w:val="16"/>
              </w:rPr>
              <w:t xml:space="preserve">  * El monto ministrado también varía dado que el flujo de operación de los fondos es cambiante acorde a la dinámica de operación de los proyectos que apoyan."</w:t>
            </w:r>
          </w:p>
          <w:p w14:paraId="4A868876" w14:textId="77777777" w:rsidR="001D1376" w:rsidRPr="001D1376" w:rsidRDefault="001D1376" w:rsidP="001D1376">
            <w:pPr>
              <w:spacing w:before="120" w:after="120"/>
              <w:jc w:val="center"/>
              <w:rPr>
                <w:rFonts w:ascii="Calibri" w:hAnsi="Calibri" w:cs="Calibri"/>
                <w:sz w:val="16"/>
                <w:szCs w:val="16"/>
              </w:rPr>
            </w:pPr>
            <w:r w:rsidRPr="001D1376">
              <w:rPr>
                <w:rFonts w:ascii="Calibri" w:hAnsi="Calibri" w:cs="Calibri"/>
                <w:sz w:val="16"/>
                <w:szCs w:val="16"/>
              </w:rPr>
              <w:t xml:space="preserve">   </w:t>
            </w:r>
          </w:p>
          <w:p w14:paraId="262DE47F" w14:textId="25B540D2" w:rsidR="001D1376" w:rsidRPr="001D1376" w:rsidRDefault="001D1376" w:rsidP="001D1376">
            <w:pPr>
              <w:spacing w:before="120" w:after="120"/>
              <w:jc w:val="center"/>
              <w:rPr>
                <w:rFonts w:ascii="Calibri" w:hAnsi="Calibri" w:cs="Calibri"/>
                <w:sz w:val="16"/>
                <w:szCs w:val="16"/>
              </w:rPr>
            </w:pPr>
            <w:r w:rsidRPr="001D1376">
              <w:rPr>
                <w:rFonts w:ascii="Calibri" w:hAnsi="Calibri" w:cs="Calibri"/>
                <w:sz w:val="16"/>
                <w:szCs w:val="16"/>
              </w:rPr>
              <w:t>Efecto: * Debido al cambio de administración, la operación de los fideicomisos y del programa se vio afectada durante el primer trimestre del 2019, ya que no se contaba con los nombramientos y poderes que permitieran autorizar y ministrar los proyectos, provocando así una diferencia en lo programado</w:t>
            </w:r>
          </w:p>
          <w:p w14:paraId="49A39681" w14:textId="77777777" w:rsidR="001D1376" w:rsidRPr="001D1376" w:rsidRDefault="001D1376" w:rsidP="001D1376">
            <w:pPr>
              <w:spacing w:before="120" w:after="120"/>
              <w:jc w:val="center"/>
              <w:rPr>
                <w:rFonts w:ascii="Calibri" w:hAnsi="Calibri" w:cs="Calibri"/>
                <w:sz w:val="16"/>
                <w:szCs w:val="16"/>
              </w:rPr>
            </w:pPr>
            <w:r w:rsidRPr="001D1376">
              <w:rPr>
                <w:rFonts w:ascii="Calibri" w:hAnsi="Calibri" w:cs="Calibri"/>
                <w:sz w:val="16"/>
                <w:szCs w:val="16"/>
              </w:rPr>
              <w:t xml:space="preserve"> </w:t>
            </w:r>
          </w:p>
          <w:p w14:paraId="23D1BFD0" w14:textId="3914F71A" w:rsidR="001D1376" w:rsidRPr="001D1376" w:rsidRDefault="001D1376" w:rsidP="001D1376">
            <w:pPr>
              <w:spacing w:before="120" w:after="120"/>
              <w:jc w:val="center"/>
              <w:rPr>
                <w:rFonts w:ascii="Calibri" w:hAnsi="Calibri" w:cs="Calibri"/>
                <w:sz w:val="16"/>
                <w:szCs w:val="16"/>
              </w:rPr>
            </w:pPr>
            <w:r w:rsidRPr="001D1376">
              <w:rPr>
                <w:rFonts w:ascii="Calibri" w:hAnsi="Calibri" w:cs="Calibri"/>
                <w:sz w:val="16"/>
                <w:szCs w:val="16"/>
              </w:rPr>
              <w:t xml:space="preserve"> Otros Motivos: El patrimonio de los fondos es multianual, y se conforma por: las aportaciones de CONACYT, las aportaciones de terceros, los rendimientos generados, las devoluciones de los sujetos de apoyo y el patrimonio del año anterior. Por lo que la base de cálculo del indicador siempre será dinámica dado el flujo de recursos de los fideicomisos.</w:t>
            </w:r>
          </w:p>
          <w:p w14:paraId="02DD184D" w14:textId="40B84616" w:rsidR="00124057" w:rsidRPr="00124057" w:rsidRDefault="001D1376" w:rsidP="001D1376">
            <w:pPr>
              <w:spacing w:before="120" w:after="120"/>
              <w:jc w:val="center"/>
              <w:rPr>
                <w:rFonts w:ascii="Calibri" w:hAnsi="Calibri" w:cs="Calibri"/>
                <w:sz w:val="16"/>
                <w:szCs w:val="16"/>
              </w:rPr>
            </w:pPr>
            <w:r w:rsidRPr="001D1376">
              <w:rPr>
                <w:rFonts w:ascii="Calibri" w:hAnsi="Calibri" w:cs="Calibri"/>
                <w:sz w:val="16"/>
                <w:szCs w:val="16"/>
              </w:rPr>
              <w:t xml:space="preserve">  </w:t>
            </w:r>
          </w:p>
        </w:tc>
      </w:tr>
      <w:tr w:rsidR="00124057" w:rsidRPr="00124057" w14:paraId="6B9867E8" w14:textId="77777777" w:rsidTr="00C422E4">
        <w:trPr>
          <w:cantSplit/>
        </w:trPr>
        <w:tc>
          <w:tcPr>
            <w:tcW w:w="362" w:type="pct"/>
            <w:shd w:val="clear" w:color="auto" w:fill="auto"/>
            <w:noWrap/>
            <w:vAlign w:val="center"/>
          </w:tcPr>
          <w:p w14:paraId="0B9D1571"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244C4EEB"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Tasa de variación de becas para la Consolidación de Doctores vigentes.</w:t>
            </w:r>
          </w:p>
        </w:tc>
        <w:tc>
          <w:tcPr>
            <w:tcW w:w="562" w:type="pct"/>
            <w:shd w:val="clear" w:color="auto" w:fill="auto"/>
            <w:vAlign w:val="center"/>
          </w:tcPr>
          <w:p w14:paraId="1E7C500F" w14:textId="26DFBFEC" w:rsidR="00124057" w:rsidRPr="00124057" w:rsidRDefault="001D137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1.89</w:t>
            </w:r>
          </w:p>
        </w:tc>
        <w:tc>
          <w:tcPr>
            <w:tcW w:w="481" w:type="pct"/>
            <w:shd w:val="clear" w:color="auto" w:fill="auto"/>
            <w:vAlign w:val="center"/>
          </w:tcPr>
          <w:p w14:paraId="22181C41" w14:textId="4574E7F7" w:rsidR="00124057" w:rsidRPr="00124057" w:rsidRDefault="001D137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63.86</w:t>
            </w:r>
          </w:p>
        </w:tc>
        <w:tc>
          <w:tcPr>
            <w:tcW w:w="402" w:type="pct"/>
            <w:shd w:val="clear" w:color="auto" w:fill="auto"/>
            <w:vAlign w:val="center"/>
          </w:tcPr>
          <w:p w14:paraId="1200A40F" w14:textId="3F6EBC6A" w:rsidR="00124057" w:rsidRPr="00124057" w:rsidRDefault="00B7247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3378.84</w:t>
            </w:r>
          </w:p>
        </w:tc>
        <w:tc>
          <w:tcPr>
            <w:tcW w:w="562" w:type="pct"/>
            <w:shd w:val="clear" w:color="auto" w:fill="auto"/>
            <w:noWrap/>
            <w:vAlign w:val="center"/>
          </w:tcPr>
          <w:p w14:paraId="3DA2A100"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05344" behindDoc="0" locked="0" layoutInCell="1" allowOverlap="1" wp14:anchorId="26E1BC58" wp14:editId="3D0355F5">
                      <wp:simplePos x="0" y="0"/>
                      <wp:positionH relativeFrom="column">
                        <wp:posOffset>179705</wp:posOffset>
                      </wp:positionH>
                      <wp:positionV relativeFrom="paragraph">
                        <wp:posOffset>142875</wp:posOffset>
                      </wp:positionV>
                      <wp:extent cx="179705" cy="179705"/>
                      <wp:effectExtent l="57150" t="19050" r="10795" b="86995"/>
                      <wp:wrapNone/>
                      <wp:docPr id="66" name="Elipse 6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3352F" id="Elipse 66" o:spid="_x0000_s1026" style="position:absolute;margin-left:14.15pt;margin-top:11.25pt;width:14.1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u3vQIAALEFAAAOAAAAZHJzL2Uyb0RvYy54bWysVN1v2jAQf5+0/8Hy+5pAoS2ooWJlTJO6&#10;thqd+nw4DrHk2J5tCN1fvzsntHTdXqbxEO7L9/m7u7zaN5rtpA/KmoIPTnLOpBG2VGZT8O8Pyw8X&#10;nIUIpgRtjSz4kwz8avb+3WXrpnJoa6tL6Rk6MWHauoLXMbpplgVRywbCiXXSoLKyvoGIrN9kpYcW&#10;vTc6G+b5WdZaXzpvhQwBpYtOyWfJf1VJEe+qKsjIdMExt5i+Pn3X9M1mlzDdeHC1En0a8A9ZNKAM&#10;Bn12tYAIbOvVG1eNEt4GW8UTYZvMVpUSMtWA1Qzy36pZ1eBkqgWbE9xzm8L/cytud/eeqbLgZ2ec&#10;GWhwRp+0ckEyFGB3WhemaLRy977nApJU6r7yDf1jEWyfOvr03FG5j0ygcHA+Oc/HnAlU9TR6yV4e&#10;Ox/iZ2kbRkTBpU6xUythdxNiZ32wonDBalUuldaJ8Zv1tfZsBzjf5TLHHyWNAV6ZacPagk/GQ0oF&#10;EGaVhohk47DwYDacgd4gfkX0KfSrx+E4xmh5Mfi46IxqKGUXeTLuA2NciF9t2YkH+UFOCXVu3iZH&#10;xS0g1N2bFLqvQRuqUSYYYy9Ss7dR+lVdtmytt/4bYP6jVDUrFTVweEqZIIMYHycNct7GRxXrBCca&#10;0ZvOkQd8RnLQroYuldO/ZG8POaRajtLLCCwdPIha2/IJwYXREzqCE0uFtd5AiPfgcc0wNTwd8Q4/&#10;lbY4IdtTnNXW//yTnOwR/ajlrMW1xfH92IKXnOkvBvdiMhiNaM8TMxqfD6n8Y836WGO2zbVF5Azw&#10;SDmRSLKP+kBW3jaPeGHmFBVVYATG7oDSM9exOyd4o4Scz5MZ7raDeGNWTpBz6itN+WH/CN71UI+4&#10;I7f2sOLY+Ndw72zppbHzbbSVSrvw0ldsPjF4F9IY+htGh+eYT1Yvl3b2CwAA//8DAFBLAwQUAAYA&#10;CAAAACEApmbTZ9wAAAAHAQAADwAAAGRycy9kb3ducmV2LnhtbEyOQUvDQBSE74L/YXmCF2k3piTE&#10;mE0RUc9tLVJv2+wzG8y+DdltE/31Pk96GoYZZr5qPbtenHEMnScFt8sEBFLjTUetgv3r86IAEaIm&#10;o3tPqOALA6zry4tKl8ZPtMXzLraCRyiUWoGNcSilDI1Fp8PSD0icffjR6ch2bKUZ9cTjrpdpkuTS&#10;6Y74weoBHy02n7uTU+DT7ZOJh/HbTtn7283+ZSPvVhulrq/mh3sQEef4V4ZffEaHmpmO/kQmiF5B&#10;Wqy4yZpmIDjP8hzEkTUpQNaV/M9f/wAAAP//AwBQSwECLQAUAAYACAAAACEAtoM4kv4AAADhAQAA&#10;EwAAAAAAAAAAAAAAAAAAAAAAW0NvbnRlbnRfVHlwZXNdLnhtbFBLAQItABQABgAIAAAAIQA4/SH/&#10;1gAAAJQBAAALAAAAAAAAAAAAAAAAAC8BAABfcmVscy8ucmVsc1BLAQItABQABgAIAAAAIQCnAOu3&#10;vQIAALEFAAAOAAAAAAAAAAAAAAAAAC4CAABkcnMvZTJvRG9jLnhtbFBLAQItABQABgAIAAAAIQCm&#10;ZtNn3AAAAAcBAAAPAAAAAAAAAAAAAAAAABcFAABkcnMvZG93bnJldi54bWxQSwUGAAAAAAQABADz&#10;AAAAIAYAAAAA&#10;" fillcolor="red" strokecolor="#4a7ebb">
                      <v:shadow on="t" color="black" opacity="22937f" origin=",.5" offset="0,.63889mm"/>
                    </v:oval>
                  </w:pict>
                </mc:Fallback>
              </mc:AlternateContent>
            </w:r>
          </w:p>
        </w:tc>
        <w:tc>
          <w:tcPr>
            <w:tcW w:w="1871" w:type="pct"/>
            <w:shd w:val="clear" w:color="auto" w:fill="auto"/>
          </w:tcPr>
          <w:p w14:paraId="230756C4" w14:textId="55FBA28A" w:rsidR="00C422E4" w:rsidRPr="00124057" w:rsidRDefault="001D1376" w:rsidP="00124057">
            <w:pPr>
              <w:spacing w:before="120" w:after="120"/>
              <w:jc w:val="center"/>
              <w:rPr>
                <w:rFonts w:asciiTheme="majorHAnsi" w:eastAsia="Times New Roman" w:hAnsiTheme="majorHAnsi" w:cstheme="majorHAnsi"/>
                <w:color w:val="000000"/>
                <w:sz w:val="16"/>
                <w:szCs w:val="16"/>
                <w:lang w:val="es-ES" w:eastAsia="es-MX"/>
              </w:rPr>
            </w:pPr>
            <w:r w:rsidRPr="001D1376">
              <w:rPr>
                <w:rFonts w:asciiTheme="majorHAnsi" w:eastAsia="Times New Roman" w:hAnsiTheme="majorHAnsi" w:cstheme="majorHAnsi"/>
                <w:color w:val="000000"/>
                <w:sz w:val="16"/>
                <w:szCs w:val="16"/>
                <w:lang w:val="es-ES" w:eastAsia="es-MX"/>
              </w:rPr>
              <w:t xml:space="preserve">Causa: El incremento en el número de becas vigentes para la Consolidación de </w:t>
            </w:r>
            <w:r w:rsidR="0059625F" w:rsidRPr="001D1376">
              <w:rPr>
                <w:rFonts w:asciiTheme="majorHAnsi" w:eastAsia="Times New Roman" w:hAnsiTheme="majorHAnsi" w:cstheme="majorHAnsi"/>
                <w:color w:val="000000"/>
                <w:sz w:val="16"/>
                <w:szCs w:val="16"/>
                <w:lang w:val="es-ES" w:eastAsia="es-MX"/>
              </w:rPr>
              <w:t>Doctores</w:t>
            </w:r>
            <w:r w:rsidRPr="001D1376">
              <w:rPr>
                <w:rFonts w:asciiTheme="majorHAnsi" w:eastAsia="Times New Roman" w:hAnsiTheme="majorHAnsi" w:cstheme="majorHAnsi"/>
                <w:color w:val="000000"/>
                <w:sz w:val="16"/>
                <w:szCs w:val="16"/>
                <w:lang w:val="es-ES" w:eastAsia="es-MX"/>
              </w:rPr>
              <w:t xml:space="preserve"> durante el primer trimestre del 2019, respecto al trimestre del 2018, se debe a que durante el 2018 (después del segundo trimestre) hubo un incremento en la asignación de becas nuevas para la Consolidación de Doctores. Lo anterior,  se derivó del cambio en la operación de los programas de estancias posdoctorales nacionales (1er y 2do año) y Retenciones y Repatriaciones: a diferencia de los años anteriores, a partir del 2018 el Conacyt realiza el pago mensual directamente a los beneficiarios, sin que se erogue el 100% de la beca en una sola emisión a las Instituciones académicas, como se realizó hasta el 2017.</w:t>
            </w:r>
          </w:p>
        </w:tc>
      </w:tr>
      <w:tr w:rsidR="00124057" w:rsidRPr="00124057" w14:paraId="41293B43" w14:textId="77777777" w:rsidTr="00C422E4">
        <w:trPr>
          <w:cantSplit/>
        </w:trPr>
        <w:tc>
          <w:tcPr>
            <w:tcW w:w="362" w:type="pct"/>
            <w:shd w:val="clear" w:color="auto" w:fill="auto"/>
            <w:noWrap/>
            <w:vAlign w:val="center"/>
          </w:tcPr>
          <w:p w14:paraId="542F541B"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lastRenderedPageBreak/>
              <w:t>S190</w:t>
            </w:r>
          </w:p>
        </w:tc>
        <w:tc>
          <w:tcPr>
            <w:tcW w:w="760" w:type="pct"/>
            <w:shd w:val="clear" w:color="auto" w:fill="auto"/>
            <w:noWrap/>
            <w:vAlign w:val="center"/>
          </w:tcPr>
          <w:p w14:paraId="36BA7EDA"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Nuevas Becas de Posgrado otorgadas.</w:t>
            </w:r>
          </w:p>
        </w:tc>
        <w:tc>
          <w:tcPr>
            <w:tcW w:w="562" w:type="pct"/>
            <w:shd w:val="clear" w:color="auto" w:fill="auto"/>
            <w:vAlign w:val="center"/>
          </w:tcPr>
          <w:p w14:paraId="2BA15261" w14:textId="65015690" w:rsidR="00124057" w:rsidRPr="00124057" w:rsidRDefault="0059625F"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93.99</w:t>
            </w:r>
          </w:p>
        </w:tc>
        <w:tc>
          <w:tcPr>
            <w:tcW w:w="481" w:type="pct"/>
            <w:shd w:val="clear" w:color="auto" w:fill="auto"/>
            <w:vAlign w:val="center"/>
          </w:tcPr>
          <w:p w14:paraId="66E21D44" w14:textId="24DAB3FF" w:rsidR="00124057" w:rsidRPr="00124057" w:rsidRDefault="0059625F"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30.24</w:t>
            </w:r>
          </w:p>
        </w:tc>
        <w:tc>
          <w:tcPr>
            <w:tcW w:w="402" w:type="pct"/>
            <w:shd w:val="clear" w:color="auto" w:fill="auto"/>
            <w:vAlign w:val="center"/>
          </w:tcPr>
          <w:p w14:paraId="0B89A53B" w14:textId="50B2AEEC" w:rsidR="00124057" w:rsidRPr="00124057" w:rsidRDefault="00B7247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32.17</w:t>
            </w:r>
          </w:p>
        </w:tc>
        <w:tc>
          <w:tcPr>
            <w:tcW w:w="562" w:type="pct"/>
            <w:shd w:val="clear" w:color="auto" w:fill="auto"/>
            <w:noWrap/>
            <w:vAlign w:val="center"/>
          </w:tcPr>
          <w:p w14:paraId="3A946EA6" w14:textId="34B9083B" w:rsidR="00124057" w:rsidRPr="00124057" w:rsidRDefault="0059625F"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76000" behindDoc="0" locked="0" layoutInCell="1" allowOverlap="1" wp14:anchorId="2710D474" wp14:editId="4D3EFB30">
                      <wp:simplePos x="0" y="0"/>
                      <wp:positionH relativeFrom="column">
                        <wp:posOffset>209550</wp:posOffset>
                      </wp:positionH>
                      <wp:positionV relativeFrom="paragraph">
                        <wp:posOffset>177800</wp:posOffset>
                      </wp:positionV>
                      <wp:extent cx="179705" cy="179705"/>
                      <wp:effectExtent l="57150" t="19050" r="10795" b="86995"/>
                      <wp:wrapNone/>
                      <wp:docPr id="9" name="Elipse 9"/>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3B2C9" id="Elipse 9" o:spid="_x0000_s1026" style="position:absolute;margin-left:16.5pt;margin-top:14pt;width:14.15pt;height:14.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n9vQIAAK8FAAAOAAAAZHJzL2Uyb0RvYy54bWysVMFu2zAMvQ/YPwi6r47TZG2COkXWLMOA&#10;ri2WDj0zshwLkCVNUuK0Xz9Sdtp03S7DcnBIkSL5nkheXO4bzXbSB2VNwfOTAWfSCFsqsyn4j/vl&#10;h3POQgRTgrZGFvxRBn45e//uonVTObS11aX0DIOYMG1dwesY3TTLgqhlA+HEOmnQWFnfQETVb7LS&#10;Q4vRG50NB4OPWWt96bwVMgQ8XXRGPkvxq0qKeFtVQUamC461xfT16bumbza7gOnGg6uV6MuAf6ii&#10;AWUw6XOoBURgW6/ehGqU8DbYKp4I22S2qpSQCQOiyQe/oVnV4GTCguQE90xT+H9hxc3uzjNVFnzC&#10;mYEGn+izVi5INiFuWhem6LJyd77XAooEdF/5hv4RAtsnPh+f+ZT7yAQe5meTs8GYM4GmXsYo2ctl&#10;50P8Im3DSCi41Cl1IhJ21yF23gcvShesVuVSaZ0Uv1lfac92gK+7XA7wR0Vjgldu2rAW8Y2HVApg&#10;k1UaIoqNQ9jBbDgDvcHuFdGn1K8uh+Mco+V5/mnROdVQyi7zZNwnxrwQv9myO84Hh3MqqAvztjgC&#10;t4BQd3dS6h6DNoRRpiZGLhLZ2yj9qi5bttZb/x2w/lFCzUpFBA5PqRJUsMPHyYKat/FBxTo1Ez3R&#10;G+YoAl6jc9Cuhq6U079Ubw81JCxH5WXULF17kLS25SO2FmZP3RGcWCrEeg0h3oHHIcPScHHEW/xU&#10;2uIL2V7irLb+6U/n5I+9j1bOWhxafL6fW/CSM/3V4FRM8tGIpjwpo/HZkOAfW9bHFrNtrix2To4r&#10;yokkkn/UB7HytnnA/TKnrGgCIzB31yi9chW7ZYIbSsj5PLnhZDuI12blBAUnXumV7/cP4F3f6hFn&#10;5MYeBhyJf93unS/dNHa+jbZSaRZeeEXyScGtkJ6h32C0do715PWyZ2e/AAAA//8DAFBLAwQUAAYA&#10;CAAAACEA/WwVv94AAAAHAQAADwAAAGRycy9kb3ducmV2LnhtbEyPwU7DMBBE70j8g7VIXBB1GqtR&#10;CXEqhIBzWyrU3tzYxBHxOrLdJvD1LKdyWo1mNPO2Wk2uZ2cTYudRwnyWATPYeN1hK2H3/nq/BBaT&#10;Qq16j0bCt4mwqq+vKlVqP+LGnLepZVSCsVQSbEpDyXlsrHEqzvxgkLxPH5xKJEPLdVAjlbue51lW&#10;cKc6pAWrBvNsTfO1PTkJPt+86LQPP3ZcHD7udm9r/iDWUt7eTE+PwJKZ0iUMf/iEDjUxHf0JdWS9&#10;BCHolSQhX9Ilv5gLYEcJi0IAryv+n7/+BQAA//8DAFBLAQItABQABgAIAAAAIQC2gziS/gAAAOEB&#10;AAATAAAAAAAAAAAAAAAAAAAAAABbQ29udGVudF9UeXBlc10ueG1sUEsBAi0AFAAGAAgAAAAhADj9&#10;If/WAAAAlAEAAAsAAAAAAAAAAAAAAAAALwEAAF9yZWxzLy5yZWxzUEsBAi0AFAAGAAgAAAAhAF9m&#10;uf29AgAArwUAAA4AAAAAAAAAAAAAAAAALgIAAGRycy9lMm9Eb2MueG1sUEsBAi0AFAAGAAgAAAAh&#10;AP1sFb/eAAAABwEAAA8AAAAAAAAAAAAAAAAAFwUAAGRycy9kb3ducmV2LnhtbFBLBQYAAAAABAAE&#10;APMAAAAiBgAAAAA=&#10;" fillcolor="red" strokecolor="#4a7ebb">
                      <v:shadow on="t" color="black" opacity="22937f" origin=",.5" offset="0,.63889mm"/>
                    </v:oval>
                  </w:pict>
                </mc:Fallback>
              </mc:AlternateContent>
            </w:r>
          </w:p>
        </w:tc>
        <w:tc>
          <w:tcPr>
            <w:tcW w:w="1871" w:type="pct"/>
            <w:shd w:val="clear" w:color="auto" w:fill="auto"/>
          </w:tcPr>
          <w:p w14:paraId="185CB329" w14:textId="713C4A2E" w:rsidR="0059625F" w:rsidRPr="0059625F" w:rsidRDefault="0059625F" w:rsidP="0059625F">
            <w:pPr>
              <w:spacing w:before="120" w:after="120"/>
              <w:jc w:val="center"/>
              <w:rPr>
                <w:rFonts w:asciiTheme="majorHAnsi" w:eastAsia="Times New Roman" w:hAnsiTheme="majorHAnsi" w:cstheme="majorHAnsi"/>
                <w:color w:val="000000"/>
                <w:sz w:val="16"/>
                <w:szCs w:val="16"/>
                <w:lang w:val="es-ES" w:eastAsia="es-MX"/>
              </w:rPr>
            </w:pPr>
            <w:r w:rsidRPr="0059625F">
              <w:rPr>
                <w:rFonts w:asciiTheme="majorHAnsi" w:eastAsia="Times New Roman" w:hAnsiTheme="majorHAnsi" w:cstheme="majorHAnsi"/>
                <w:color w:val="000000"/>
                <w:sz w:val="16"/>
                <w:szCs w:val="16"/>
                <w:lang w:val="es-ES" w:eastAsia="es-MX"/>
              </w:rPr>
              <w:t>Causa:</w:t>
            </w:r>
            <w:r>
              <w:rPr>
                <w:rFonts w:asciiTheme="majorHAnsi" w:eastAsia="Times New Roman" w:hAnsiTheme="majorHAnsi" w:cstheme="majorHAnsi"/>
                <w:color w:val="000000"/>
                <w:sz w:val="16"/>
                <w:szCs w:val="16"/>
                <w:lang w:val="es-ES" w:eastAsia="es-MX"/>
              </w:rPr>
              <w:br/>
            </w:r>
            <w:r w:rsidRPr="0059625F">
              <w:rPr>
                <w:rFonts w:asciiTheme="majorHAnsi" w:eastAsia="Times New Roman" w:hAnsiTheme="majorHAnsi" w:cstheme="majorHAnsi"/>
                <w:color w:val="000000"/>
                <w:sz w:val="16"/>
                <w:szCs w:val="16"/>
                <w:lang w:val="es-ES" w:eastAsia="es-MX"/>
              </w:rPr>
              <w:t>No se asignaron nuevas becas nacionales de posgrado en el periodo conforme lo planeado. La asignación de becas se realizará a partir del mes de abril.  El indicador se reporta en medio del proceso que se lleva a cabo para la asignación de nuevas becas. El resto del proceso quedará reflej</w:t>
            </w:r>
            <w:r>
              <w:rPr>
                <w:rFonts w:asciiTheme="majorHAnsi" w:eastAsia="Times New Roman" w:hAnsiTheme="majorHAnsi" w:cstheme="majorHAnsi"/>
                <w:color w:val="000000"/>
                <w:sz w:val="16"/>
                <w:szCs w:val="16"/>
                <w:lang w:val="es-ES" w:eastAsia="es-MX"/>
              </w:rPr>
              <w:t xml:space="preserve">ado en el siguiente trimestre. </w:t>
            </w:r>
          </w:p>
          <w:p w14:paraId="350CA52B" w14:textId="30F6B049" w:rsidR="00C422E4" w:rsidRPr="00124057" w:rsidRDefault="0059625F" w:rsidP="0059625F">
            <w:pPr>
              <w:spacing w:before="120" w:after="120"/>
              <w:jc w:val="center"/>
              <w:rPr>
                <w:rFonts w:asciiTheme="majorHAnsi" w:eastAsia="Times New Roman" w:hAnsiTheme="majorHAnsi" w:cstheme="majorHAnsi"/>
                <w:color w:val="000000"/>
                <w:sz w:val="16"/>
                <w:szCs w:val="16"/>
                <w:lang w:val="es-ES" w:eastAsia="es-MX"/>
              </w:rPr>
            </w:pPr>
            <w:r w:rsidRPr="0059625F">
              <w:rPr>
                <w:rFonts w:asciiTheme="majorHAnsi" w:eastAsia="Times New Roman" w:hAnsiTheme="majorHAnsi" w:cstheme="majorHAnsi"/>
                <w:color w:val="000000"/>
                <w:sz w:val="16"/>
                <w:szCs w:val="16"/>
                <w:lang w:val="es-ES" w:eastAsia="es-MX"/>
              </w:rPr>
              <w:t xml:space="preserve">Efecto: </w:t>
            </w:r>
            <w:r>
              <w:rPr>
                <w:rFonts w:asciiTheme="majorHAnsi" w:eastAsia="Times New Roman" w:hAnsiTheme="majorHAnsi" w:cstheme="majorHAnsi"/>
                <w:color w:val="000000"/>
                <w:sz w:val="16"/>
                <w:szCs w:val="16"/>
                <w:lang w:val="es-ES" w:eastAsia="es-MX"/>
              </w:rPr>
              <w:br/>
            </w:r>
            <w:r w:rsidRPr="0059625F">
              <w:rPr>
                <w:rFonts w:asciiTheme="majorHAnsi" w:eastAsia="Times New Roman" w:hAnsiTheme="majorHAnsi" w:cstheme="majorHAnsi"/>
                <w:color w:val="000000"/>
                <w:sz w:val="16"/>
                <w:szCs w:val="16"/>
                <w:lang w:val="es-ES" w:eastAsia="es-MX"/>
              </w:rPr>
              <w:t>Los becarios que cuenten con una beca nueva en el trimestre II y cuyo programa de estudios haya iniciado en el trimestre I recibirán un pago retroactivo, como es común por los distintos tiempos de inicio de los programas.</w:t>
            </w:r>
          </w:p>
        </w:tc>
      </w:tr>
      <w:tr w:rsidR="00124057" w:rsidRPr="00124057" w14:paraId="0081598A" w14:textId="77777777" w:rsidTr="00C422E4">
        <w:trPr>
          <w:cantSplit/>
        </w:trPr>
        <w:tc>
          <w:tcPr>
            <w:tcW w:w="362" w:type="pct"/>
            <w:shd w:val="clear" w:color="auto" w:fill="auto"/>
            <w:noWrap/>
            <w:vAlign w:val="center"/>
          </w:tcPr>
          <w:p w14:paraId="65D34E9B" w14:textId="77777777" w:rsidR="00124057" w:rsidRPr="00124057" w:rsidRDefault="00124057" w:rsidP="00124057">
            <w:pPr>
              <w:spacing w:before="120" w:after="120"/>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767B8545"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Tasa de variación de becas de posgrado vigentes.</w:t>
            </w:r>
          </w:p>
        </w:tc>
        <w:tc>
          <w:tcPr>
            <w:tcW w:w="562" w:type="pct"/>
            <w:shd w:val="clear" w:color="auto" w:fill="auto"/>
            <w:vAlign w:val="center"/>
          </w:tcPr>
          <w:p w14:paraId="7BB496A8" w14:textId="10C63ADB" w:rsidR="00124057" w:rsidRPr="00124057" w:rsidRDefault="0059625F"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2.00</w:t>
            </w:r>
          </w:p>
        </w:tc>
        <w:tc>
          <w:tcPr>
            <w:tcW w:w="481" w:type="pct"/>
            <w:shd w:val="clear" w:color="auto" w:fill="auto"/>
            <w:vAlign w:val="center"/>
          </w:tcPr>
          <w:p w14:paraId="5A04AF21" w14:textId="4B2C19CE" w:rsidR="00124057" w:rsidRPr="00124057" w:rsidRDefault="0059625F"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1.26</w:t>
            </w:r>
          </w:p>
        </w:tc>
        <w:tc>
          <w:tcPr>
            <w:tcW w:w="402" w:type="pct"/>
            <w:shd w:val="clear" w:color="auto" w:fill="auto"/>
            <w:vAlign w:val="center"/>
          </w:tcPr>
          <w:p w14:paraId="00BF67D3" w14:textId="670C7DC9" w:rsidR="00124057" w:rsidRPr="00124057" w:rsidRDefault="00B7247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63.00</w:t>
            </w:r>
          </w:p>
        </w:tc>
        <w:tc>
          <w:tcPr>
            <w:tcW w:w="562" w:type="pct"/>
            <w:shd w:val="clear" w:color="auto" w:fill="auto"/>
            <w:noWrap/>
            <w:vAlign w:val="center"/>
          </w:tcPr>
          <w:p w14:paraId="49FEAD2B" w14:textId="1B03AB37" w:rsidR="00124057" w:rsidRPr="00124057" w:rsidRDefault="00B72471"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82144" behindDoc="0" locked="0" layoutInCell="1" allowOverlap="1" wp14:anchorId="03A1CEA9" wp14:editId="55DE6C00">
                      <wp:simplePos x="0" y="0"/>
                      <wp:positionH relativeFrom="column">
                        <wp:posOffset>161925</wp:posOffset>
                      </wp:positionH>
                      <wp:positionV relativeFrom="paragraph">
                        <wp:posOffset>132715</wp:posOffset>
                      </wp:positionV>
                      <wp:extent cx="179705" cy="179705"/>
                      <wp:effectExtent l="57150" t="19050" r="10795" b="86995"/>
                      <wp:wrapNone/>
                      <wp:docPr id="5" name="Elipse 5"/>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A48B3" id="Elipse 5" o:spid="_x0000_s1026" style="position:absolute;margin-left:12.75pt;margin-top:10.45pt;width:14.1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yvQIAAK8FAAAOAAAAZHJzL2Uyb0RvYy54bWysVMFu2zAMvQ/YPwi6r47TZG2COkXWLMOA&#10;ri2WDj0zshwLkCVNUuK0Xz9Sdtp03S7DcnBIkSIfn0heXO4bzXbSB2VNwfOTAWfSCFsqsyn4j/vl&#10;h3POQgRTgrZGFvxRBn45e//uonVTObS11aX0DIOYMG1dwesY3TTLgqhlA+HEOmnQWFnfQETVb7LS&#10;Q4vRG50NB4OPWWt96bwVMgQ8XXRGPkvxq0qKeFtVQUamC47YYvr69F3TN5tdwHTjwdVK9DDgH1A0&#10;oAwmfQ61gAhs69WbUI0S3gZbxRNhm8xWlRIy1YDV5IPfqlnV4GSqBckJ7pmm8P/CipvdnWeqLPiY&#10;MwMNPtFnrVyQbEzctC5M0WXl7nyvBRSp0H3lG/rHEtg+8fn4zKfcRybwMD+bnA0wrkBTL2OU7OWy&#10;8yF+kbZhJBRc6pQ6EQm76xA774MXpQtWq3KptE6K36yvtGc7wNddLgf4I9CY4JWbNqwt+GQ8JCiA&#10;TVZpiCg2DssOZsMZ6A12r4g+pX51ORznGC3P80+LzqmGUnaZJ+M+MeaF+M2W3XE+OJwToC7MW3BU&#10;3AJC3d1JqfsatKEaZWpi5CKRvY3Sr+qyZWu99d8B8Y9S1axURODwlJCggh0+ThbUvI0PKtapmeiJ&#10;3jBHEfAanYN2NXRQTv+C3h4wpFqO4GXULF17kLS25SO2FmZP3RGcWCqs9RpCvAOPQ4bQcHHEW/xU&#10;2uIL2V7irLb+6U/n5I+9j1bOWhxafL6fW/CSM/3V4FRM8tGIpjwpo/HZkMo/tqyPLWbbXFnsnBxX&#10;lBNJJP+oD2LlbfOA+2VOWdEERmDurlF65Sp2ywQ3lJDzeXLDyXYQr83KCQpOvNIr3+8fwLu+1SPO&#10;yI09DDgS/7rdO1+6aex8G22l0iy88Irkk4JbIT1Dv8Fo7Rzryetlz85+AQAA//8DAFBLAwQUAAYA&#10;CAAAACEAsOD39t0AAAAHAQAADwAAAGRycy9kb3ducmV2LnhtbEyPwU7DMBBE70j8g7VIXBB1SAki&#10;IU6FEHBuS4Xg5sZLHBGvI9ttAl/PcoLTaDWjmbf1anaDOGKIvScFV4sMBFLrTU+dgt3L0+UtiJg0&#10;GT14QgVfGGHVnJ7UujJ+og0et6kTXEKx0gpsSmMlZWwtOh0XfkRi78MHpxOfoZMm6InL3SDzLLuR&#10;TvfEC1aP+GCx/dwenAKfbx5NegvfdireXy92z2tZLtdKnZ/N93cgEs7pLwy/+IwODTPt/YFMFIOC&#10;vCg4yZqVINgvlvzJXsF1mYNsavmfv/kBAAD//wMAUEsBAi0AFAAGAAgAAAAhALaDOJL+AAAA4QEA&#10;ABMAAAAAAAAAAAAAAAAAAAAAAFtDb250ZW50X1R5cGVzXS54bWxQSwECLQAUAAYACAAAACEAOP0h&#10;/9YAAACUAQAACwAAAAAAAAAAAAAAAAAvAQAAX3JlbHMvLnJlbHNQSwECLQAUAAYACAAAACEAPgww&#10;8r0CAACvBQAADgAAAAAAAAAAAAAAAAAuAgAAZHJzL2Uyb0RvYy54bWxQSwECLQAUAAYACAAAACEA&#10;sOD39t0AAAAHAQAADwAAAAAAAAAAAAAAAAAXBQAAZHJzL2Rvd25yZXYueG1sUEsFBgAAAAAEAAQA&#10;8wAAACEGAAAAAA==&#10;" fillcolor="red" strokecolor="#4a7ebb">
                      <v:shadow on="t" color="black" opacity="22937f" origin=",.5" offset="0,.63889mm"/>
                    </v:oval>
                  </w:pict>
                </mc:Fallback>
              </mc:AlternateContent>
            </w:r>
          </w:p>
        </w:tc>
        <w:tc>
          <w:tcPr>
            <w:tcW w:w="1871" w:type="pct"/>
            <w:shd w:val="clear" w:color="auto" w:fill="auto"/>
          </w:tcPr>
          <w:p w14:paraId="1B538A64" w14:textId="34D04506" w:rsidR="0059625F" w:rsidRPr="0059625F" w:rsidRDefault="0059625F" w:rsidP="00B87815">
            <w:pPr>
              <w:spacing w:before="120" w:after="120"/>
              <w:jc w:val="center"/>
              <w:rPr>
                <w:rFonts w:asciiTheme="majorHAnsi" w:eastAsia="Times New Roman" w:hAnsiTheme="majorHAnsi" w:cstheme="majorHAnsi"/>
                <w:color w:val="000000"/>
                <w:sz w:val="16"/>
                <w:szCs w:val="16"/>
                <w:lang w:val="es-ES" w:eastAsia="es-MX"/>
              </w:rPr>
            </w:pPr>
            <w:r w:rsidRPr="0059625F">
              <w:rPr>
                <w:rFonts w:asciiTheme="majorHAnsi" w:eastAsia="Times New Roman" w:hAnsiTheme="majorHAnsi" w:cstheme="majorHAnsi"/>
                <w:color w:val="000000"/>
                <w:sz w:val="16"/>
                <w:szCs w:val="16"/>
                <w:lang w:val="es-ES" w:eastAsia="es-MX"/>
              </w:rPr>
              <w:t xml:space="preserve">Causa:  </w:t>
            </w:r>
            <w:r>
              <w:rPr>
                <w:rFonts w:asciiTheme="majorHAnsi" w:eastAsia="Times New Roman" w:hAnsiTheme="majorHAnsi" w:cstheme="majorHAnsi"/>
                <w:color w:val="000000"/>
                <w:sz w:val="16"/>
                <w:szCs w:val="16"/>
                <w:lang w:val="es-ES" w:eastAsia="es-MX"/>
              </w:rPr>
              <w:br/>
            </w:r>
            <w:r w:rsidRPr="0059625F">
              <w:rPr>
                <w:rFonts w:asciiTheme="majorHAnsi" w:eastAsia="Times New Roman" w:hAnsiTheme="majorHAnsi" w:cstheme="majorHAnsi"/>
                <w:color w:val="000000"/>
                <w:sz w:val="16"/>
                <w:szCs w:val="16"/>
                <w:lang w:val="es-ES" w:eastAsia="es-MX"/>
              </w:rPr>
              <w:t>El número de becas vigentes de posgrado se mantuvo conforme lo planeado. A pesar del menor número de</w:t>
            </w:r>
            <w:r w:rsidR="00B87815">
              <w:rPr>
                <w:rFonts w:asciiTheme="majorHAnsi" w:eastAsia="Times New Roman" w:hAnsiTheme="majorHAnsi" w:cstheme="majorHAnsi"/>
                <w:color w:val="000000"/>
                <w:sz w:val="16"/>
                <w:szCs w:val="16"/>
                <w:lang w:val="es-ES" w:eastAsia="es-MX"/>
              </w:rPr>
              <w:t xml:space="preserve"> becas nuevas en este trimestre</w:t>
            </w:r>
          </w:p>
          <w:p w14:paraId="4A462835" w14:textId="2DAE67E9" w:rsidR="00C422E4" w:rsidRPr="00124057" w:rsidRDefault="0059625F" w:rsidP="0059625F">
            <w:pPr>
              <w:spacing w:before="120" w:after="120"/>
              <w:jc w:val="center"/>
              <w:rPr>
                <w:rFonts w:asciiTheme="majorHAnsi" w:eastAsia="Times New Roman" w:hAnsiTheme="majorHAnsi" w:cstheme="majorHAnsi"/>
                <w:color w:val="000000"/>
                <w:sz w:val="16"/>
                <w:szCs w:val="16"/>
                <w:lang w:val="es-ES" w:eastAsia="es-MX"/>
              </w:rPr>
            </w:pPr>
            <w:r w:rsidRPr="0059625F">
              <w:rPr>
                <w:rFonts w:asciiTheme="majorHAnsi" w:eastAsia="Times New Roman" w:hAnsiTheme="majorHAnsi" w:cstheme="majorHAnsi"/>
                <w:color w:val="000000"/>
                <w:sz w:val="16"/>
                <w:szCs w:val="16"/>
                <w:lang w:val="es-ES" w:eastAsia="es-MX"/>
              </w:rPr>
              <w:t xml:space="preserve">Efecto:  </w:t>
            </w:r>
            <w:r>
              <w:rPr>
                <w:rFonts w:asciiTheme="majorHAnsi" w:eastAsia="Times New Roman" w:hAnsiTheme="majorHAnsi" w:cstheme="majorHAnsi"/>
                <w:color w:val="000000"/>
                <w:sz w:val="16"/>
                <w:szCs w:val="16"/>
                <w:lang w:val="es-ES" w:eastAsia="es-MX"/>
              </w:rPr>
              <w:br/>
            </w:r>
            <w:r w:rsidRPr="0059625F">
              <w:rPr>
                <w:rFonts w:asciiTheme="majorHAnsi" w:eastAsia="Times New Roman" w:hAnsiTheme="majorHAnsi" w:cstheme="majorHAnsi"/>
                <w:color w:val="000000"/>
                <w:sz w:val="16"/>
                <w:szCs w:val="16"/>
                <w:lang w:val="es-ES" w:eastAsia="es-MX"/>
              </w:rPr>
              <w:t>Se continua apoyando a la  comunidad científica, vía el número de becas vigentes en el primer trimestre de 2019.</w:t>
            </w:r>
          </w:p>
        </w:tc>
      </w:tr>
      <w:tr w:rsidR="00124057" w:rsidRPr="00124057" w14:paraId="34B9346E" w14:textId="77777777" w:rsidTr="00C422E4">
        <w:trPr>
          <w:cantSplit/>
        </w:trPr>
        <w:tc>
          <w:tcPr>
            <w:tcW w:w="362" w:type="pct"/>
            <w:shd w:val="clear" w:color="auto" w:fill="auto"/>
            <w:noWrap/>
            <w:vAlign w:val="center"/>
          </w:tcPr>
          <w:p w14:paraId="759ECA42" w14:textId="77777777" w:rsidR="00124057" w:rsidRPr="00124057" w:rsidRDefault="00124057" w:rsidP="00124057">
            <w:pPr>
              <w:spacing w:before="120" w:after="120"/>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S190</w:t>
            </w:r>
          </w:p>
        </w:tc>
        <w:tc>
          <w:tcPr>
            <w:tcW w:w="760" w:type="pct"/>
            <w:shd w:val="clear" w:color="auto" w:fill="auto"/>
            <w:noWrap/>
            <w:vAlign w:val="center"/>
          </w:tcPr>
          <w:p w14:paraId="67C2329F"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solicitudes para becas de posgrado dictaminadas en los tiempos señalados en las convocatorias.</w:t>
            </w:r>
          </w:p>
        </w:tc>
        <w:tc>
          <w:tcPr>
            <w:tcW w:w="562" w:type="pct"/>
            <w:shd w:val="clear" w:color="auto" w:fill="auto"/>
            <w:vAlign w:val="center"/>
          </w:tcPr>
          <w:p w14:paraId="201CE64A"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100.00</w:t>
            </w:r>
          </w:p>
        </w:tc>
        <w:tc>
          <w:tcPr>
            <w:tcW w:w="481" w:type="pct"/>
            <w:shd w:val="clear" w:color="auto" w:fill="auto"/>
            <w:vAlign w:val="center"/>
          </w:tcPr>
          <w:p w14:paraId="0FBB6746"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100.00</w:t>
            </w:r>
          </w:p>
        </w:tc>
        <w:tc>
          <w:tcPr>
            <w:tcW w:w="402" w:type="pct"/>
            <w:shd w:val="clear" w:color="auto" w:fill="auto"/>
            <w:vAlign w:val="center"/>
          </w:tcPr>
          <w:p w14:paraId="2375995C" w14:textId="45FFC1A1" w:rsidR="00124057" w:rsidRPr="00124057" w:rsidRDefault="00B7247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562" w:type="pct"/>
            <w:shd w:val="clear" w:color="auto" w:fill="auto"/>
            <w:noWrap/>
            <w:vAlign w:val="center"/>
          </w:tcPr>
          <w:p w14:paraId="71892959"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10464" behindDoc="0" locked="0" layoutInCell="1" allowOverlap="1" wp14:anchorId="5D8EBBB3" wp14:editId="47C3ABC0">
                      <wp:simplePos x="0" y="0"/>
                      <wp:positionH relativeFrom="column">
                        <wp:posOffset>133350</wp:posOffset>
                      </wp:positionH>
                      <wp:positionV relativeFrom="paragraph">
                        <wp:posOffset>132080</wp:posOffset>
                      </wp:positionV>
                      <wp:extent cx="179705" cy="179705"/>
                      <wp:effectExtent l="57150" t="19050" r="10795" b="86995"/>
                      <wp:wrapNone/>
                      <wp:docPr id="71" name="Elipse 71"/>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1931F" id="Elipse 71" o:spid="_x0000_s1026" style="position:absolute;margin-left:10.5pt;margin-top:10.4pt;width:14.15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wIAALEFAAAOAAAAZHJzL2Uyb0RvYy54bWysVN1v2jAQf5+0/8Hy+5qEwiiooaJlTJO6&#10;thqd+nw4DrHk2J5tCN1fv7MdWti6l2kvyX35Pn93l1f7VpIdt05oVdLiLKeEK6YroTYl/f64/HBB&#10;ifOgKpBa8ZI+c0evZu/fXXZmyge60bLilqAT5aadKWnjvZlmmWMNb8GdacMVKmttW/DI2k1WWejQ&#10;eyuzQZ5/zDptK2M1486hdJGUdBb91zVn/r6uHfdElhRz8/Fr43cdvtnsEqYbC6YRrE8D/iGLFoTC&#10;oC+uFuCBbK34w1UrmNVO1/6M6TbTdS0YjzVgNUX+WzWrBgyPtWBznHlpk/t/btnd7sESUZV0XFCi&#10;oMUZfZLCOE5QgN3pjJui0co82J5zSIZS97Vtwx+LIPvY0eeXjvK9JwyFxXgyzkeUMFT1NHrJXh8b&#10;6/xnrlsSiJJyGWPHVsLu1vlkfbAK4ZyWoloKKSNjN+sbackOwnzz63wUR4oBTsykIl1JJ6NBSAUQ&#10;ZrUEj2RrsHCnNpSA3CB+mbcx9MljdxxjuLworhfJqIGKp8iTUZ73WHLgv+oqiQtMJ8lDQslNrP7E&#10;fyhuAa5Jb6IqNB6fSBVq5BHG2IvY7K3ndtVUHVnLrf0GmP8QYyC0KxEaODjvGcT4KGpQZbV/Er6J&#10;cAojeqNz0UeQgzQNpFTO/5K9PuQQkzxKLwtgSfAI1FpXzwgujB6CEmfYUmCtt+D8A1hcMxTi6fD3&#10;+KmlxgnpnqKk0fbnW/Jgj+hHLSUdri2O78cWLKdEflG4F5NiOES3PjLD0XgQyj/WrI81atveaEQO&#10;Qh+zi2Sw9/JA1la3T3hh5iEqqkAxjJ2A0jM3Pp0TvFGMz+fRDHfbgL9VK8OC89DXMOXH/RNY00Pd&#10;447c6cOKY+NP4Z5sw0ul51uvaxF34bWv2PzA4F2IY+hvWDg8x3y0er20s18AAAD//wMAUEsDBBQA&#10;BgAIAAAAIQCzEcRY3QAAAAcBAAAPAAAAZHJzL2Rvd25yZXYueG1sTI/NTsNADITvSLzDykhcEN2k&#10;/CiEbCoEAnGAAykHjm5ikqhZb9jdtOnb457gNLLGHn9TrGY7qB350Ds2kC4SUMS1a3puDXyuny8z&#10;UCEiNzg4JgMHCrAqT08KzBu35w/aVbFVEsIhRwNdjGOudag7shgWbiQW79t5i1FG3+rG417C7aCX&#10;SXKrLfYsHzoc6bGjeltNVjDwYlv5n5u316/36SXLsvXBhSdjzs/mh3tQkeb4twxHfLmBUpg2buIm&#10;qMHAMpUqUTSRBuJf312B2hw1BV0W+j9/+QsAAP//AwBQSwECLQAUAAYACAAAACEAtoM4kv4AAADh&#10;AQAAEwAAAAAAAAAAAAAAAAAAAAAAW0NvbnRlbnRfVHlwZXNdLnhtbFBLAQItABQABgAIAAAAIQA4&#10;/SH/1gAAAJQBAAALAAAAAAAAAAAAAAAAAC8BAABfcmVscy8ucmVsc1BLAQItABQABgAIAAAAIQCv&#10;+/N+vwIAALEFAAAOAAAAAAAAAAAAAAAAAC4CAABkcnMvZTJvRG9jLnhtbFBLAQItABQABgAIAAAA&#10;IQCzEcRY3QAAAAcBAAAPAAAAAAAAAAAAAAAAABkFAABkcnMvZG93bnJldi54bWxQSwUGAAAAAAQA&#10;BADzAAAAIwYAAAAA&#10;" fillcolor="#00b050" strokecolor="#4a7ebb">
                      <v:shadow on="t" color="black" opacity="22937f" origin=",.5" offset="0,.63889mm"/>
                    </v:oval>
                  </w:pict>
                </mc:Fallback>
              </mc:AlternateContent>
            </w:r>
          </w:p>
        </w:tc>
        <w:tc>
          <w:tcPr>
            <w:tcW w:w="1871" w:type="pct"/>
            <w:shd w:val="clear" w:color="auto" w:fill="auto"/>
          </w:tcPr>
          <w:p w14:paraId="250E6F50" w14:textId="1EC3914A" w:rsidR="00B87815" w:rsidRPr="00B87815" w:rsidRDefault="00B87815" w:rsidP="00B87815">
            <w:pPr>
              <w:spacing w:before="120" w:after="120"/>
              <w:jc w:val="center"/>
              <w:rPr>
                <w:rFonts w:asciiTheme="majorHAnsi" w:eastAsia="Times New Roman" w:hAnsiTheme="majorHAnsi" w:cstheme="majorHAnsi"/>
                <w:color w:val="000000"/>
                <w:sz w:val="16"/>
                <w:szCs w:val="16"/>
                <w:lang w:val="es-ES" w:eastAsia="es-MX"/>
              </w:rPr>
            </w:pPr>
            <w:r w:rsidRPr="00B87815">
              <w:rPr>
                <w:rFonts w:asciiTheme="majorHAnsi" w:eastAsia="Times New Roman" w:hAnsiTheme="majorHAnsi" w:cstheme="majorHAnsi"/>
                <w:color w:val="000000"/>
                <w:sz w:val="16"/>
                <w:szCs w:val="16"/>
                <w:lang w:val="es-ES" w:eastAsia="es-MX"/>
              </w:rPr>
              <w:t xml:space="preserve">Causa:  </w:t>
            </w:r>
            <w:r>
              <w:rPr>
                <w:rFonts w:asciiTheme="majorHAnsi" w:eastAsia="Times New Roman" w:hAnsiTheme="majorHAnsi" w:cstheme="majorHAnsi"/>
                <w:color w:val="000000"/>
                <w:sz w:val="16"/>
                <w:szCs w:val="16"/>
                <w:lang w:val="es-ES" w:eastAsia="es-MX"/>
              </w:rPr>
              <w:br/>
            </w:r>
            <w:r w:rsidRPr="00B87815">
              <w:rPr>
                <w:rFonts w:asciiTheme="majorHAnsi" w:eastAsia="Times New Roman" w:hAnsiTheme="majorHAnsi" w:cstheme="majorHAnsi"/>
                <w:color w:val="000000"/>
                <w:sz w:val="16"/>
                <w:szCs w:val="16"/>
                <w:lang w:val="es-ES" w:eastAsia="es-MX"/>
              </w:rPr>
              <w:t>Los procedimientos necesarios para la evaluación de las solicitudes para becas de posgrado fueron planeados, ejecutados y monitoreados de manera adecuada, por lo que todas las solicitudes fueron eval</w:t>
            </w:r>
            <w:r>
              <w:rPr>
                <w:rFonts w:asciiTheme="majorHAnsi" w:eastAsia="Times New Roman" w:hAnsiTheme="majorHAnsi" w:cstheme="majorHAnsi"/>
                <w:color w:val="000000"/>
                <w:sz w:val="16"/>
                <w:szCs w:val="16"/>
                <w:lang w:val="es-ES" w:eastAsia="es-MX"/>
              </w:rPr>
              <w:t>uadas.</w:t>
            </w:r>
          </w:p>
          <w:p w14:paraId="595BE050" w14:textId="7EC1FAC9" w:rsidR="00124057" w:rsidRPr="00124057" w:rsidRDefault="00B87815" w:rsidP="00B87815">
            <w:pPr>
              <w:spacing w:before="120" w:after="120"/>
              <w:jc w:val="center"/>
              <w:rPr>
                <w:rFonts w:asciiTheme="majorHAnsi" w:eastAsia="Times New Roman" w:hAnsiTheme="majorHAnsi" w:cstheme="majorHAnsi"/>
                <w:color w:val="000000"/>
                <w:sz w:val="16"/>
                <w:szCs w:val="16"/>
                <w:lang w:val="es-ES" w:eastAsia="es-MX"/>
              </w:rPr>
            </w:pPr>
            <w:r w:rsidRPr="00B87815">
              <w:rPr>
                <w:rFonts w:asciiTheme="majorHAnsi" w:eastAsia="Times New Roman" w:hAnsiTheme="majorHAnsi" w:cstheme="majorHAnsi"/>
                <w:color w:val="000000"/>
                <w:sz w:val="16"/>
                <w:szCs w:val="16"/>
                <w:lang w:val="es-ES" w:eastAsia="es-MX"/>
              </w:rPr>
              <w:t xml:space="preserve">Efecto:  </w:t>
            </w:r>
            <w:r>
              <w:rPr>
                <w:rFonts w:asciiTheme="majorHAnsi" w:eastAsia="Times New Roman" w:hAnsiTheme="majorHAnsi" w:cstheme="majorHAnsi"/>
                <w:color w:val="000000"/>
                <w:sz w:val="16"/>
                <w:szCs w:val="16"/>
                <w:lang w:val="es-ES" w:eastAsia="es-MX"/>
              </w:rPr>
              <w:br/>
            </w:r>
            <w:r w:rsidRPr="00B87815">
              <w:rPr>
                <w:rFonts w:asciiTheme="majorHAnsi" w:eastAsia="Times New Roman" w:hAnsiTheme="majorHAnsi" w:cstheme="majorHAnsi"/>
                <w:color w:val="000000"/>
                <w:sz w:val="16"/>
                <w:szCs w:val="16"/>
                <w:lang w:val="es-ES" w:eastAsia="es-MX"/>
              </w:rPr>
              <w:t>Todas las solicitudes cuentan con una evaluación que permite continuar con el proceso de formalización para que eventualmente se conviertan en becas nuevas.</w:t>
            </w:r>
          </w:p>
        </w:tc>
      </w:tr>
      <w:tr w:rsidR="00124057" w:rsidRPr="00124057" w14:paraId="161547C8" w14:textId="77777777" w:rsidTr="00C422E4">
        <w:trPr>
          <w:cantSplit/>
        </w:trPr>
        <w:tc>
          <w:tcPr>
            <w:tcW w:w="362" w:type="pct"/>
            <w:shd w:val="clear" w:color="auto" w:fill="auto"/>
            <w:noWrap/>
            <w:vAlign w:val="center"/>
          </w:tcPr>
          <w:p w14:paraId="632E12BF" w14:textId="77777777" w:rsidR="00124057" w:rsidRPr="00124057" w:rsidRDefault="00124057" w:rsidP="00124057">
            <w:pPr>
              <w:spacing w:before="120" w:after="120"/>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lastRenderedPageBreak/>
              <w:t>S190</w:t>
            </w:r>
          </w:p>
        </w:tc>
        <w:tc>
          <w:tcPr>
            <w:tcW w:w="760" w:type="pct"/>
            <w:shd w:val="clear" w:color="auto" w:fill="auto"/>
            <w:noWrap/>
            <w:vAlign w:val="center"/>
          </w:tcPr>
          <w:p w14:paraId="79922397"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convocatorias publicadas</w:t>
            </w:r>
          </w:p>
        </w:tc>
        <w:tc>
          <w:tcPr>
            <w:tcW w:w="562" w:type="pct"/>
            <w:shd w:val="clear" w:color="auto" w:fill="auto"/>
            <w:vAlign w:val="center"/>
          </w:tcPr>
          <w:p w14:paraId="766C61DF"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100.00</w:t>
            </w:r>
          </w:p>
        </w:tc>
        <w:tc>
          <w:tcPr>
            <w:tcW w:w="481" w:type="pct"/>
            <w:shd w:val="clear" w:color="auto" w:fill="auto"/>
            <w:vAlign w:val="center"/>
          </w:tcPr>
          <w:p w14:paraId="36F39855"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100.00</w:t>
            </w:r>
          </w:p>
        </w:tc>
        <w:tc>
          <w:tcPr>
            <w:tcW w:w="402" w:type="pct"/>
            <w:shd w:val="clear" w:color="auto" w:fill="auto"/>
            <w:vAlign w:val="center"/>
          </w:tcPr>
          <w:p w14:paraId="3A27B325" w14:textId="2084AEAF" w:rsidR="00124057" w:rsidRPr="00124057" w:rsidRDefault="00B72471" w:rsidP="00B87815">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562" w:type="pct"/>
            <w:shd w:val="clear" w:color="auto" w:fill="auto"/>
            <w:noWrap/>
            <w:vAlign w:val="center"/>
          </w:tcPr>
          <w:p w14:paraId="20106A1C" w14:textId="0D7D47DD" w:rsidR="00124057" w:rsidRPr="00124057" w:rsidRDefault="00B72471"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84192" behindDoc="0" locked="0" layoutInCell="1" allowOverlap="1" wp14:anchorId="69C60520" wp14:editId="0A3CAA1E">
                      <wp:simplePos x="0" y="0"/>
                      <wp:positionH relativeFrom="column">
                        <wp:posOffset>190500</wp:posOffset>
                      </wp:positionH>
                      <wp:positionV relativeFrom="paragraph">
                        <wp:posOffset>32385</wp:posOffset>
                      </wp:positionV>
                      <wp:extent cx="179705" cy="179705"/>
                      <wp:effectExtent l="57150" t="19050" r="10795" b="86995"/>
                      <wp:wrapNone/>
                      <wp:docPr id="6" name="Elipse 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B7B0A2" id="Elipse 6" o:spid="_x0000_s1026" style="position:absolute;margin-left:15pt;margin-top:2.55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tBvwIAAK8FAAAOAAAAZHJzL2Uyb0RvYy54bWysVE1v2zAMvQ/YfxB0X+2kSdsEdYqsWYYB&#10;XVssHXpmZDkWIEuapNTpfv1I2WmTrbsMu9ikSPHj8YmXV7tGsyfpg7Km4IOTnDNphC2V2RT8+8Py&#10;wwVnIYIpQVsjC/4sA7+avX932bqpHNra6lJ6hkFMmLau4HWMbpplQdSygXBinTRorKxvIKLqN1np&#10;ocXojc6GeX6WtdaXzlshQ8DTRWfksxS/qqSId1UVZGS64FhbTF+fvmv6ZrNLmG48uFqJvgz4hyoa&#10;UAaTvoRaQAS29eqPUI0S3gZbxRNhm8xWlRIy9YDdDPLfulnV4GTqBcEJ7gWm8P/Citune89UWfAz&#10;zgw0OKJPWrkg2Rlh07owRZeVu/e9FlCkRneVb+iPLbBdwvP5BU+5i0zg4eB8cp6PORNo6mWMkr1e&#10;dj7Ez9I2jISCS51SJyDh6SbEznvvRemC1apcKq2T4jfra+3ZE9B084/5OA0UExy5acPagk/GQyoF&#10;kGSVhohi47DtYDacgd4ge0X0KfXR5XCYY7S8GHxcdE41lLLLPBnnec+kAPGrLbvjAZbTnVNBXZjU&#10;/VF8am4Boe7uJBMBj1e0oR5lIjFikcDeRulXddmytd76b4D1jzAHErtUBODwtFeQ4eNkQZO38VHF&#10;OpGJRvQGcikGnYN2NXSlnP6leruvIRV5UF5GZOnoQdLals9ILcxOSVlwYqmw1xsI8R48PjI8xMUR&#10;7/BTaYsTsr3EWW39z7fOyR+5j1bOWny0OL4fW/CSM/3F4KuYDEYjDBuTMhqfD6n9Q8v60GK2zbVF&#10;5gxSdUkk/6j3YuVt84j7ZU5Z0QRGYO6OKL1yHbtlghtKyPk8ueHLdhBvzMoJCk640pQfdo/gXU/1&#10;iG/k1u4fOAJ/TPfOl24aO99GW6n0Fl5xRfBJwa2QxtBvMFo7h3ryet2zs18AAAD//wMAUEsDBBQA&#10;BgAIAAAAIQD6nUwR3QAAAAYBAAAPAAAAZHJzL2Rvd25yZXYueG1sTI8xT8MwEIV3JP6DdUgsiDol&#10;BFkhToVAIAY6kHboeI2PJGpsh9hp03/PMcF47929912xmm0vjjSGzjsNy0UCglztTecaDdvN660C&#10;ESI6g713pOFMAVbl5UWBufEn90nHKjaCQ1zIUUMb45BLGeqWLIaFH8ix9+VHi5HHsZFmxBOH217e&#10;JcmDtNg5bmhxoOeW6kM1WcbAm0M1fmcf77v19KaU2px9eNH6+mp+egQRaY5/y/CLzzdQMtPeT84E&#10;0WtIE34lasiWINjOVApiz3J6D7Is5H/88gcAAP//AwBQSwECLQAUAAYACAAAACEAtoM4kv4AAADh&#10;AQAAEwAAAAAAAAAAAAAAAAAAAAAAW0NvbnRlbnRfVHlwZXNdLnhtbFBLAQItABQABgAIAAAAIQA4&#10;/SH/1gAAAJQBAAALAAAAAAAAAAAAAAAAAC8BAABfcmVscy8ucmVsc1BLAQItABQABgAIAAAAIQBT&#10;tHtBvwIAAK8FAAAOAAAAAAAAAAAAAAAAAC4CAABkcnMvZTJvRG9jLnhtbFBLAQItABQABgAIAAAA&#10;IQD6nUwR3QAAAAYBAAAPAAAAAAAAAAAAAAAAABkFAABkcnMvZG93bnJldi54bWxQSwUGAAAAAAQA&#10;BADzAAAAIwYAAAAA&#10;" fillcolor="#00b050" strokecolor="#4a7ebb">
                      <v:shadow on="t" color="black" opacity="22937f" origin=",.5" offset="0,.63889mm"/>
                    </v:oval>
                  </w:pict>
                </mc:Fallback>
              </mc:AlternateContent>
            </w:r>
          </w:p>
        </w:tc>
        <w:tc>
          <w:tcPr>
            <w:tcW w:w="1871" w:type="pct"/>
            <w:shd w:val="clear" w:color="auto" w:fill="auto"/>
          </w:tcPr>
          <w:p w14:paraId="3C794A97" w14:textId="0E9E8A54" w:rsidR="00B87815" w:rsidRPr="00B87815" w:rsidRDefault="00B87815" w:rsidP="00B87815">
            <w:pPr>
              <w:spacing w:before="120" w:after="120"/>
              <w:jc w:val="center"/>
              <w:rPr>
                <w:rFonts w:asciiTheme="majorHAnsi" w:eastAsia="Times New Roman" w:hAnsiTheme="majorHAnsi" w:cstheme="majorHAnsi"/>
                <w:color w:val="000000"/>
                <w:sz w:val="16"/>
                <w:szCs w:val="16"/>
                <w:lang w:val="es-ES" w:eastAsia="es-MX"/>
              </w:rPr>
            </w:pPr>
            <w:r w:rsidRPr="00B87815">
              <w:rPr>
                <w:rFonts w:asciiTheme="majorHAnsi" w:eastAsia="Times New Roman" w:hAnsiTheme="majorHAnsi" w:cstheme="majorHAnsi"/>
                <w:color w:val="000000"/>
                <w:sz w:val="16"/>
                <w:szCs w:val="16"/>
                <w:lang w:val="es-ES" w:eastAsia="es-MX"/>
              </w:rPr>
              <w:t>Causa:</w:t>
            </w:r>
            <w:r>
              <w:rPr>
                <w:rFonts w:asciiTheme="majorHAnsi" w:eastAsia="Times New Roman" w:hAnsiTheme="majorHAnsi" w:cstheme="majorHAnsi"/>
                <w:color w:val="000000"/>
                <w:sz w:val="16"/>
                <w:szCs w:val="16"/>
                <w:lang w:val="es-ES" w:eastAsia="es-MX"/>
              </w:rPr>
              <w:br/>
            </w:r>
            <w:r w:rsidRPr="00B87815">
              <w:rPr>
                <w:rFonts w:asciiTheme="majorHAnsi" w:eastAsia="Times New Roman" w:hAnsiTheme="majorHAnsi" w:cstheme="majorHAnsi"/>
                <w:color w:val="000000"/>
                <w:sz w:val="16"/>
                <w:szCs w:val="16"/>
                <w:lang w:val="es-ES" w:eastAsia="es-MX"/>
              </w:rPr>
              <w:t xml:space="preserve"> La planeación de convocatorias, a emitirse durante el año fiscal 2019, se hizo con base en el histórico de las convocatorias emitidas durante el sexenio pasado. Sin embargo, durante el presente trimestre, la DAPYB diseñó un nuevo calendario de emisión de convocatorias, conforme con las nuevas directrices de la presente administración. Por ello, el numerador y denominador, planeado para el presente trimestre (44), no coincide con lo reportado (16).  Para efectos del presente reporte, se considera que las actividades de planeación, elaboración y publicación de las convocatorias fueron exitosas si se publicaron en tiempo y forma las convocatorias previstas por la nueva administración, independientemente del número de documentos materializados. Por ejemplo: según la calendarización de convocatorias, estaba previsto que durante el mes de marzo se emitieran dos Convocatorias independientes, Repatriación 2019 y Retención 2019; sin embargo, en la práctica, ambas convocatorias se emitieron en un solo documento denominado "Convocatoria 2019 (1) de Repatriaciones y Retenciones". Asimismo, según la calendarización de las convocatorias, estaba prevista la emisión de la Convocatoria "Becas al extranjero con los Consejos Estatales"; en la práctica esta convocatoria se materializó en seis documentos: uno por cada región. En ambos casos, reportamos que el objeto de la calendarización fue verificado: emisión exitosa (en tiempo y forma) de las convocatorias. </w:t>
            </w:r>
          </w:p>
          <w:p w14:paraId="142F4B17" w14:textId="77777777" w:rsidR="00B87815" w:rsidRPr="00B87815" w:rsidRDefault="00B87815" w:rsidP="00B87815">
            <w:pPr>
              <w:spacing w:before="120" w:after="120"/>
              <w:jc w:val="center"/>
              <w:rPr>
                <w:rFonts w:asciiTheme="majorHAnsi" w:eastAsia="Times New Roman" w:hAnsiTheme="majorHAnsi" w:cstheme="majorHAnsi"/>
                <w:color w:val="000000"/>
                <w:sz w:val="16"/>
                <w:szCs w:val="16"/>
                <w:lang w:val="es-ES" w:eastAsia="es-MX"/>
              </w:rPr>
            </w:pPr>
            <w:r w:rsidRPr="00B87815">
              <w:rPr>
                <w:rFonts w:asciiTheme="majorHAnsi" w:eastAsia="Times New Roman" w:hAnsiTheme="majorHAnsi" w:cstheme="majorHAnsi"/>
                <w:color w:val="000000"/>
                <w:sz w:val="16"/>
                <w:szCs w:val="16"/>
                <w:lang w:val="es-ES" w:eastAsia="es-MX"/>
              </w:rPr>
              <w:t xml:space="preserve"> </w:t>
            </w:r>
          </w:p>
          <w:p w14:paraId="0ACA8321" w14:textId="0AA65ECD" w:rsidR="00124057" w:rsidRPr="00124057" w:rsidRDefault="00B87815" w:rsidP="00B87815">
            <w:pPr>
              <w:spacing w:before="120" w:after="120"/>
              <w:jc w:val="center"/>
              <w:rPr>
                <w:rFonts w:asciiTheme="majorHAnsi" w:eastAsia="Times New Roman" w:hAnsiTheme="majorHAnsi" w:cstheme="majorHAnsi"/>
                <w:color w:val="000000"/>
                <w:sz w:val="16"/>
                <w:szCs w:val="16"/>
                <w:lang w:val="es-ES" w:eastAsia="es-MX"/>
              </w:rPr>
            </w:pPr>
            <w:r w:rsidRPr="00B87815">
              <w:rPr>
                <w:rFonts w:asciiTheme="majorHAnsi" w:eastAsia="Times New Roman" w:hAnsiTheme="majorHAnsi" w:cstheme="majorHAnsi"/>
                <w:color w:val="000000"/>
                <w:sz w:val="16"/>
                <w:szCs w:val="16"/>
                <w:lang w:val="es-ES" w:eastAsia="es-MX"/>
              </w:rPr>
              <w:t xml:space="preserve">Efecto: </w:t>
            </w:r>
            <w:r>
              <w:rPr>
                <w:rFonts w:asciiTheme="majorHAnsi" w:eastAsia="Times New Roman" w:hAnsiTheme="majorHAnsi" w:cstheme="majorHAnsi"/>
                <w:color w:val="000000"/>
                <w:sz w:val="16"/>
                <w:szCs w:val="16"/>
                <w:lang w:val="es-ES" w:eastAsia="es-MX"/>
              </w:rPr>
              <w:br/>
            </w:r>
            <w:r w:rsidRPr="00B87815">
              <w:rPr>
                <w:rFonts w:asciiTheme="majorHAnsi" w:eastAsia="Times New Roman" w:hAnsiTheme="majorHAnsi" w:cstheme="majorHAnsi"/>
                <w:color w:val="000000"/>
                <w:sz w:val="16"/>
                <w:szCs w:val="16"/>
                <w:lang w:val="es-ES" w:eastAsia="es-MX"/>
              </w:rPr>
              <w:t xml:space="preserve">Los postulantes a beca tienen en tiempo y forma las convocatorias para </w:t>
            </w:r>
            <w:r w:rsidR="00152DB6" w:rsidRPr="00B87815">
              <w:rPr>
                <w:rFonts w:asciiTheme="majorHAnsi" w:eastAsia="Times New Roman" w:hAnsiTheme="majorHAnsi" w:cstheme="majorHAnsi"/>
                <w:color w:val="000000"/>
                <w:sz w:val="16"/>
                <w:szCs w:val="16"/>
                <w:lang w:val="es-ES" w:eastAsia="es-MX"/>
              </w:rPr>
              <w:t>conocer</w:t>
            </w:r>
            <w:r w:rsidRPr="00B87815">
              <w:rPr>
                <w:rFonts w:asciiTheme="majorHAnsi" w:eastAsia="Times New Roman" w:hAnsiTheme="majorHAnsi" w:cstheme="majorHAnsi"/>
                <w:color w:val="000000"/>
                <w:sz w:val="16"/>
                <w:szCs w:val="16"/>
                <w:lang w:val="es-ES" w:eastAsia="es-MX"/>
              </w:rPr>
              <w:t xml:space="preserve"> con todo detalle los requisitos, beneficios y compromisos que adquieren en caso de convertirse en becarios.  Además, dependiendo del inicio de su programa, una vez que adquieren la beca tienen la certeza que recibirán el pago por el periodo completo que dura la beca.</w:t>
            </w:r>
          </w:p>
        </w:tc>
      </w:tr>
      <w:tr w:rsidR="00124057" w:rsidRPr="00124057" w14:paraId="684DECE2" w14:textId="77777777" w:rsidTr="00C422E4">
        <w:trPr>
          <w:cantSplit/>
        </w:trPr>
        <w:tc>
          <w:tcPr>
            <w:tcW w:w="362" w:type="pct"/>
            <w:shd w:val="clear" w:color="auto" w:fill="auto"/>
            <w:noWrap/>
            <w:vAlign w:val="center"/>
          </w:tcPr>
          <w:p w14:paraId="063CD8AB" w14:textId="77777777" w:rsidR="00124057" w:rsidRPr="00124057" w:rsidRDefault="00124057" w:rsidP="00124057">
            <w:pPr>
              <w:spacing w:before="120" w:after="120"/>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S191</w:t>
            </w:r>
          </w:p>
        </w:tc>
        <w:tc>
          <w:tcPr>
            <w:tcW w:w="760" w:type="pct"/>
            <w:shd w:val="clear" w:color="auto" w:fill="auto"/>
            <w:noWrap/>
            <w:vAlign w:val="center"/>
          </w:tcPr>
          <w:p w14:paraId="6750D855"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estímulos económicos de la modalidad Investigador Nacional Nivel II con respecto al total de miembros del SNI entregados</w:t>
            </w:r>
          </w:p>
        </w:tc>
        <w:tc>
          <w:tcPr>
            <w:tcW w:w="562" w:type="pct"/>
            <w:shd w:val="clear" w:color="auto" w:fill="auto"/>
            <w:vAlign w:val="center"/>
          </w:tcPr>
          <w:p w14:paraId="23882845" w14:textId="0F4BEA7B"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3.91</w:t>
            </w:r>
          </w:p>
        </w:tc>
        <w:tc>
          <w:tcPr>
            <w:tcW w:w="481" w:type="pct"/>
            <w:shd w:val="clear" w:color="auto" w:fill="auto"/>
            <w:vAlign w:val="center"/>
          </w:tcPr>
          <w:p w14:paraId="397DAE6B" w14:textId="6E59858E"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3.87</w:t>
            </w:r>
          </w:p>
        </w:tc>
        <w:tc>
          <w:tcPr>
            <w:tcW w:w="402" w:type="pct"/>
            <w:shd w:val="clear" w:color="auto" w:fill="auto"/>
            <w:vAlign w:val="center"/>
          </w:tcPr>
          <w:p w14:paraId="25990010" w14:textId="2CCE9EA1" w:rsidR="00124057" w:rsidRPr="00124057" w:rsidRDefault="00B7247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98.98</w:t>
            </w:r>
          </w:p>
        </w:tc>
        <w:tc>
          <w:tcPr>
            <w:tcW w:w="562" w:type="pct"/>
            <w:shd w:val="clear" w:color="auto" w:fill="auto"/>
            <w:noWrap/>
            <w:vAlign w:val="center"/>
          </w:tcPr>
          <w:p w14:paraId="79A41A56"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19680" behindDoc="0" locked="0" layoutInCell="1" allowOverlap="1" wp14:anchorId="5D35B9D8" wp14:editId="71276F54">
                      <wp:simplePos x="0" y="0"/>
                      <wp:positionH relativeFrom="column">
                        <wp:posOffset>161925</wp:posOffset>
                      </wp:positionH>
                      <wp:positionV relativeFrom="paragraph">
                        <wp:posOffset>182880</wp:posOffset>
                      </wp:positionV>
                      <wp:extent cx="179705" cy="179705"/>
                      <wp:effectExtent l="57150" t="19050" r="10795" b="86995"/>
                      <wp:wrapNone/>
                      <wp:docPr id="80" name="Elipse 80"/>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D5DE6" id="Elipse 80" o:spid="_x0000_s1026" style="position:absolute;margin-left:12.75pt;margin-top:14.4pt;width:14.15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gJvQIAALEFAAAOAAAAZHJzL2Uyb0RvYy54bWysVFtv2jAUfp+0/2D5fU1CYQXUUNEypkld&#10;W41OfT44DrHk22xD6H79jp3Qwta9THtJzs3n8p3L5dVeSbLjzgujS1qc5ZRwzUwl9Kak3x+XH8aU&#10;+AC6Amk0L+kz9/Rq9v7dZWunfGAaIyvuCDrRftrakjYh2GmWedZwBf7MWK5RWRunICDrNlnloEXv&#10;SmaDPP+YtcZV1hnGvUfpolPSWfJf15yF+7r2PBBZUswtpK9L33X8ZrNLmG4c2EawPg34hywUCI1B&#10;X1wtIADZOvGHKyWYM97U4YwZlZm6FoynGrCaIv+tmlUDlqdaEBxvX2Dy/88tu9s9OCKqko4RHg0K&#10;e/RJCus5QQGi01o/RaOVfXA955GMpe5rp+IfiyD7hOjzC6J8HwhDYXExuchHlDBU9TR6yV4fW+fD&#10;Z24UiURJuUyxE5Swu/Whsz5YxXDeSFEthZSJcZv1jXRkB7G/+XU+SkljgBMzqUlb0sloEFMBHLNa&#10;QkBSWSzc6w0lIDc4vyy4FPrksT+OMVyOi+tFZ9RAxbvIk1Ge97PkIXw1VScuMJ1OHhPq3KTqT/zH&#10;4hbgm+5NUkXg8YnUsUaexhixSGBvA3erpmrJWm7dN8D8hxgDe1eJCODgvGdwxkdJgypnwpMITRqn&#10;2KI3kEs+ohykbaBL5fwv2ZtDDinJo/SyOCzdeERqbapnHC6MHoMSb9lSYK234MMDOFwzFOLpCPf4&#10;qaXBDpmeoqQx7udb8miP049aSlpcW2zfjy04Ton8onEvJsVwiG5DYoaji0Es/1izPtborboxODlF&#10;yi6R0T7IA1k7o57wwsxjVFSBZhi7G5SeuQndOcEbxfh8nsxwty2EW72yLDqPuMYuP+6fwNl+1APu&#10;yJ05rDgCfzrunW18qc18G0wt0i684orgRwbvQmpDf8Pi4Tnmk9XrpZ39AgAA//8DAFBLAwQUAAYA&#10;CAAAACEABZIemtwAAAAHAQAADwAAAGRycy9kb3ducmV2LnhtbEyPMU/DMBCFdyT+g3VILIg6LQpY&#10;IU6FQCAGOpAyMF5jk0SNz8F22vTfc0wwPZ3eu3fflevZDeJgQ+w9aVguMhCWGm96ajV8bJ+vFYiY&#10;kAwOnqyGk42wrs7PSiyMP9K7PdSpFVxCsUANXUpjIWVsOuswLvxoib0vHxwmHkMrTcAjl7tBrrLs&#10;VjrsiS90ONrHzjb7enKMgVf7Onznb6+fm+lFKbU9+fik9eXF/HAPItk5/YXhF593oGKmnZ/IRDFo&#10;WOU5J1kVf8B+fsO6Y71bgqxK+Z+/+gEAAP//AwBQSwECLQAUAAYACAAAACEAtoM4kv4AAADhAQAA&#10;EwAAAAAAAAAAAAAAAAAAAAAAW0NvbnRlbnRfVHlwZXNdLnhtbFBLAQItABQABgAIAAAAIQA4/SH/&#10;1gAAAJQBAAALAAAAAAAAAAAAAAAAAC8BAABfcmVscy8ucmVsc1BLAQItABQABgAIAAAAIQDLMKgJ&#10;vQIAALEFAAAOAAAAAAAAAAAAAAAAAC4CAABkcnMvZTJvRG9jLnhtbFBLAQItABQABgAIAAAAIQAF&#10;kh6a3AAAAAcBAAAPAAAAAAAAAAAAAAAAABcFAABkcnMvZG93bnJldi54bWxQSwUGAAAAAAQABADz&#10;AAAAIAYAAAAA&#10;" fillcolor="#00b050" strokecolor="#4a7ebb">
                      <v:shadow on="t" color="black" opacity="22937f" origin=",.5" offset="0,.63889mm"/>
                    </v:oval>
                  </w:pict>
                </mc:Fallback>
              </mc:AlternateContent>
            </w:r>
          </w:p>
        </w:tc>
        <w:tc>
          <w:tcPr>
            <w:tcW w:w="1871" w:type="pct"/>
            <w:shd w:val="clear" w:color="auto" w:fill="auto"/>
          </w:tcPr>
          <w:p w14:paraId="5667D472" w14:textId="445B540B"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Causa:</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 xml:space="preserve"> Aunque el numerador varió, prácticamente se alcanzó la meta y se entregaron a tiempo todos los estímulos que debieron entregarse. La diferencia radica en aquellas personas que no cumplieron con los requisitos reglamentarios para ser acreedores a un estímulo económico.</w:t>
            </w:r>
          </w:p>
        </w:tc>
      </w:tr>
      <w:tr w:rsidR="00124057" w:rsidRPr="00124057" w14:paraId="10DC5BAD" w14:textId="77777777" w:rsidTr="00C422E4">
        <w:trPr>
          <w:cantSplit/>
        </w:trPr>
        <w:tc>
          <w:tcPr>
            <w:tcW w:w="362" w:type="pct"/>
            <w:shd w:val="clear" w:color="auto" w:fill="auto"/>
            <w:noWrap/>
            <w:vAlign w:val="center"/>
          </w:tcPr>
          <w:p w14:paraId="10858148" w14:textId="77777777" w:rsidR="00124057" w:rsidRPr="00124057" w:rsidRDefault="00124057" w:rsidP="00124057">
            <w:pPr>
              <w:spacing w:before="120" w:after="120"/>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S191</w:t>
            </w:r>
          </w:p>
        </w:tc>
        <w:tc>
          <w:tcPr>
            <w:tcW w:w="760" w:type="pct"/>
            <w:shd w:val="clear" w:color="auto" w:fill="auto"/>
            <w:noWrap/>
            <w:vAlign w:val="center"/>
          </w:tcPr>
          <w:p w14:paraId="6CBD5F33"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estímulos económicos de la modalidad Candidato a Investigador Nacional con respecto al total de miembros del SNI entregados</w:t>
            </w:r>
          </w:p>
        </w:tc>
        <w:tc>
          <w:tcPr>
            <w:tcW w:w="562" w:type="pct"/>
            <w:shd w:val="clear" w:color="auto" w:fill="auto"/>
            <w:vAlign w:val="center"/>
          </w:tcPr>
          <w:p w14:paraId="37FA22A3" w14:textId="7436B987"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5.45</w:t>
            </w:r>
          </w:p>
        </w:tc>
        <w:tc>
          <w:tcPr>
            <w:tcW w:w="481" w:type="pct"/>
            <w:shd w:val="clear" w:color="auto" w:fill="auto"/>
            <w:vAlign w:val="center"/>
          </w:tcPr>
          <w:p w14:paraId="120F8B7A" w14:textId="3C1864C0"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5.01</w:t>
            </w:r>
          </w:p>
        </w:tc>
        <w:tc>
          <w:tcPr>
            <w:tcW w:w="402" w:type="pct"/>
            <w:shd w:val="clear" w:color="auto" w:fill="auto"/>
            <w:vAlign w:val="center"/>
          </w:tcPr>
          <w:p w14:paraId="79668D00" w14:textId="562566FC" w:rsidR="00124057" w:rsidRPr="00124057" w:rsidRDefault="00B7247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91.93</w:t>
            </w:r>
          </w:p>
        </w:tc>
        <w:tc>
          <w:tcPr>
            <w:tcW w:w="562" w:type="pct"/>
            <w:shd w:val="clear" w:color="auto" w:fill="auto"/>
            <w:noWrap/>
            <w:vAlign w:val="center"/>
          </w:tcPr>
          <w:p w14:paraId="6E3C365A"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20704" behindDoc="0" locked="0" layoutInCell="1" allowOverlap="1" wp14:anchorId="10E6DDE2" wp14:editId="03DADE07">
                      <wp:simplePos x="0" y="0"/>
                      <wp:positionH relativeFrom="column">
                        <wp:posOffset>133350</wp:posOffset>
                      </wp:positionH>
                      <wp:positionV relativeFrom="paragraph">
                        <wp:posOffset>57150</wp:posOffset>
                      </wp:positionV>
                      <wp:extent cx="179705" cy="179705"/>
                      <wp:effectExtent l="57150" t="19050" r="10795" b="86995"/>
                      <wp:wrapNone/>
                      <wp:docPr id="81" name="Elipse 81"/>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E1B0A" id="Elipse 81" o:spid="_x0000_s1026" style="position:absolute;margin-left:10.5pt;margin-top:4.5pt;width:14.15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YvgIAALEFAAAOAAAAZHJzL2Uyb0RvYy54bWysVFtv2jAUfp+0/2D5fU1CYQXUUNEypkld&#10;W41OfT44DrHk22xD6H79jp3Qwta9THtJzs3n+p1zebVXkuy488LokhZnOSVcM1MJvSnp98flhzEl&#10;PoCuQBrNS/rMPb2avX932dopH5jGyIo7gk60n7a2pE0IdpplnjVcgT8zlmtU1sYpCMi6TVY5aNG7&#10;ktkgzz9mrXGVdYZx71G66JR0lvzXNWfhvq49D0SWFHML6evSdx2/2ewSphsHthGsTwP+IQsFQmPQ&#10;F1cLCEC2TvzhSgnmjDd1OGNGZaauBeOpBqymyH+rZtWA5akWbI63L23y/88tu9s9OCKqko4LSjQo&#10;nNEnKaznBAXYndb6KRqt7IPrOY9kLHVfOxX/WATZp44+v3SU7wNhKCwuJhf5iBKGqp5GL9nrY+t8&#10;+MyNIpEoKZcpdmol7G596KwPVjGcN1JUSyFlYtxmfSMd2UGcb36dj9JIMcCJmdSkLelkNIipAMKs&#10;lhCQVBYL93pDCcgN4pcFl0KfPPbHMYbLcXG96IwaqHgXeTLK8x5LHsJXU3XiAtPp5DGhzk2q/sR/&#10;LG4BvuneJFVsPD6ROtbIE4yxF6nZ28DdqqlaspZb9w0w/yHGQGhXIjZwcN4ziPFR0qDKmfAkQpPg&#10;FEf0RueSjygHaRvoUjn/S/bmkENK8ii9LIKlg0ek1qZ6RnBh9BiUeMuWAmu9BR8ewOGaoRBPR7jH&#10;Ty0NTsj0FCWNcT/fkkd7RD9qKWlxbXF8P7bgOCXyi8a9mBTDIboNiRmOLgax/GPN+lijt+rGIHIQ&#10;+phdIqN9kAeydkY94YWZx6ioAs0wdgeUnrkJ3TnBG8X4fJ7McLcthFu9siw6j32NU37cP4GzPdQD&#10;7sidOaw4Nv4U7p1tfKnNfBtMLdIuvPYVmx8ZvAtpDP0Ni4fnmE9Wr5d29gsAAP//AwBQSwMEFAAG&#10;AAgAAAAhADnpeJ3fAAAABgEAAA8AAABkcnMvZG93bnJldi54bWxMjzFPwzAQhXck/oN1SCyoddoA&#10;TUOcCoFADDCQMjBe4yOJGtvBdtr033NMMJ2e3t173xWbyfTiQD50zipYzBMQZGunO9so+Ng+zTIQ&#10;IaLV2DtLCk4UYFOenxWYa3e073SoYiM4xIYcFbQxDrmUoW7JYJi7gSx7X84bjCx9I7XHI4ebXi6T&#10;5FYa7Cw3tDjQQ0v1vhoNY+DVvvLfN68vn2/jc5Zl25MLj0pdXkz3dyAiTfFvGX7x+QZKZtq50eog&#10;egXLBb8SFax5sH29TkHsFKSrFGRZyP/45Q8AAAD//wMAUEsBAi0AFAAGAAgAAAAhALaDOJL+AAAA&#10;4QEAABMAAAAAAAAAAAAAAAAAAAAAAFtDb250ZW50X1R5cGVzXS54bWxQSwECLQAUAAYACAAAACEA&#10;OP0h/9YAAACUAQAACwAAAAAAAAAAAAAAAAAvAQAAX3JlbHMvLnJlbHNQSwECLQAUAAYACAAAACEA&#10;/jYs2L4CAACxBQAADgAAAAAAAAAAAAAAAAAuAgAAZHJzL2Uyb0RvYy54bWxQSwECLQAUAAYACAAA&#10;ACEAOel4nd8AAAAGAQAADwAAAAAAAAAAAAAAAAAYBQAAZHJzL2Rvd25yZXYueG1sUEsFBgAAAAAE&#10;AAQA8wAAACQGAAAAAA==&#10;" fillcolor="#00b050" strokecolor="#4a7ebb">
                      <v:shadow on="t" color="black" opacity="22937f" origin=",.5" offset="0,.63889mm"/>
                    </v:oval>
                  </w:pict>
                </mc:Fallback>
              </mc:AlternateContent>
            </w:r>
          </w:p>
        </w:tc>
        <w:tc>
          <w:tcPr>
            <w:tcW w:w="1871" w:type="pct"/>
            <w:shd w:val="clear" w:color="auto" w:fill="auto"/>
          </w:tcPr>
          <w:p w14:paraId="2CB402CE" w14:textId="585247DE" w:rsidR="00124057" w:rsidRPr="00ED0952" w:rsidRDefault="00152DB6" w:rsidP="00124057">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 xml:space="preserve">Causa: </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Aunque el numerador varió, prácticamente se alcanzó la meta y se entregaron a tiempo todos los estímulos que debieron entregarse. La diferencia radica en aquellas personas que no cumplieron con los requisitos reglamentarios para ser acreedores a un estímulo económico</w:t>
            </w:r>
          </w:p>
        </w:tc>
      </w:tr>
      <w:tr w:rsidR="00124057" w:rsidRPr="00124057" w14:paraId="379B5582" w14:textId="77777777" w:rsidTr="00C422E4">
        <w:trPr>
          <w:cantSplit/>
        </w:trPr>
        <w:tc>
          <w:tcPr>
            <w:tcW w:w="362" w:type="pct"/>
            <w:shd w:val="clear" w:color="auto" w:fill="auto"/>
            <w:noWrap/>
            <w:vAlign w:val="center"/>
          </w:tcPr>
          <w:p w14:paraId="70B5B038" w14:textId="77777777" w:rsidR="00124057" w:rsidRPr="00124057" w:rsidRDefault="00124057" w:rsidP="00124057">
            <w:pPr>
              <w:spacing w:before="120" w:after="120"/>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lastRenderedPageBreak/>
              <w:t>S191</w:t>
            </w:r>
          </w:p>
        </w:tc>
        <w:tc>
          <w:tcPr>
            <w:tcW w:w="760" w:type="pct"/>
            <w:shd w:val="clear" w:color="auto" w:fill="auto"/>
            <w:noWrap/>
            <w:vAlign w:val="center"/>
          </w:tcPr>
          <w:p w14:paraId="05365347"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estímulos económicos de la modalidad Investigador Nacional Nivel III con respecto al total de miembros del SNI entregados</w:t>
            </w:r>
          </w:p>
        </w:tc>
        <w:tc>
          <w:tcPr>
            <w:tcW w:w="562" w:type="pct"/>
            <w:shd w:val="clear" w:color="auto" w:fill="auto"/>
            <w:vAlign w:val="center"/>
          </w:tcPr>
          <w:p w14:paraId="102572E2" w14:textId="4ED32838"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2.19</w:t>
            </w:r>
          </w:p>
        </w:tc>
        <w:tc>
          <w:tcPr>
            <w:tcW w:w="481" w:type="pct"/>
            <w:shd w:val="clear" w:color="auto" w:fill="auto"/>
            <w:vAlign w:val="center"/>
          </w:tcPr>
          <w:p w14:paraId="07B50266" w14:textId="27863399"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2.12</w:t>
            </w:r>
          </w:p>
        </w:tc>
        <w:tc>
          <w:tcPr>
            <w:tcW w:w="402" w:type="pct"/>
            <w:shd w:val="clear" w:color="auto" w:fill="auto"/>
            <w:vAlign w:val="center"/>
          </w:tcPr>
          <w:p w14:paraId="4629C2AB" w14:textId="4B11AB0E" w:rsidR="00124057" w:rsidRPr="00124057" w:rsidRDefault="00B7247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96.80</w:t>
            </w:r>
          </w:p>
        </w:tc>
        <w:tc>
          <w:tcPr>
            <w:tcW w:w="562" w:type="pct"/>
            <w:shd w:val="clear" w:color="auto" w:fill="auto"/>
            <w:noWrap/>
            <w:vAlign w:val="center"/>
          </w:tcPr>
          <w:p w14:paraId="4B1DFC20"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21728" behindDoc="0" locked="0" layoutInCell="1" allowOverlap="1" wp14:anchorId="7E846B7C" wp14:editId="1CB41CF5">
                      <wp:simplePos x="0" y="0"/>
                      <wp:positionH relativeFrom="column">
                        <wp:posOffset>217805</wp:posOffset>
                      </wp:positionH>
                      <wp:positionV relativeFrom="paragraph">
                        <wp:posOffset>29210</wp:posOffset>
                      </wp:positionV>
                      <wp:extent cx="179705" cy="179705"/>
                      <wp:effectExtent l="57150" t="19050" r="10795" b="86995"/>
                      <wp:wrapNone/>
                      <wp:docPr id="82" name="Elipse 82"/>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E6EDD" id="Elipse 82" o:spid="_x0000_s1026" style="position:absolute;margin-left:17.15pt;margin-top:2.3pt;width:14.15pt;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FxvgIAALEFAAAOAAAAZHJzL2Uyb0RvYy54bWysVFtv2jAUfp+0/2D5fU1CYQXUUNEypkld&#10;W41OfT44DrHk22xD6H79jp3Qwta9THtJzs3n8p3L5dVeSbLjzgujS1qc5ZRwzUwl9Kak3x+XH8aU&#10;+AC6Amk0L+kz9/Rq9v7dZWunfGAaIyvuCDrRftrakjYh2GmWedZwBf7MWK5RWRunICDrNlnloEXv&#10;SmaDPP+YtcZV1hnGvUfpolPSWfJf15yF+7r2PBBZUswtpK9L33X8ZrNLmG4c2EawPg34hywUCI1B&#10;X1wtIADZOvGHKyWYM97U4YwZlZm6FoynGrCaIv+tmlUDlqdaEBxvX2Dy/88tu9s9OCKqko4HlGhQ&#10;2KNPUljPCQoQndb6KRqt7IPrOY9kLHVfOxX/WATZJ0SfXxDl+0AYCouLyUU+ooShqqfRS/b62Dof&#10;PnOjSCRKymWKnaCE3a0PnfXBKobzRopqKaRMjNusb6QjO4j9za/zUWopBjgxk5q0JZ2MBjEVwDGr&#10;JQQklcXCvd5QAnKD88uCS6FPHvvjGMPluLhedEYNVLyLPBnleT9LHsJXU3XiAtPp5DGhzk2q/sR/&#10;LG4BvuneJFUEHp9IHWvkaYwRiwT2NnC3aqqWrOXWfQPMf4gxcLQrEQEcnPcMzvgoaVDlTHgSoUnj&#10;FFv0BnLJR5SDtA10qZz/JXtzyCEleZReFoelG49IrU31jMOF0WNQ4i1bCqz1Fnx4AIdrhkI8HeEe&#10;P7U02CHTU5Q0xv18Sx7tcfpRS0mLa4vt+7EFxymRXzTuxaQYDtFtSMxwdDGI5R9r1scavVU3Bien&#10;SNklMtoHeSBrZ9QTXph5jIoq0Axjd4PSMzehOyd4oxifz5MZ7raFcKtXlkXnEdfY5cf9Ezjbj3rA&#10;HbkzhxVH4E/HvbONL7WZb4OpRdqFV1wR/MjgXUht6G9YPDzHfLJ6vbSzXwAAAP//AwBQSwMEFAAG&#10;AAgAAAAhAMnQPY7dAAAABgEAAA8AAABkcnMvZG93bnJldi54bWxMjjFPwzAQhXck/oN1SCyIOqQl&#10;CiFOhUAghjKQMjBeY5NEjc/Bdtr033NMMJ3u3rv3vnI920EcjA+9IwU3iwSEocbpnloFH9vn6xxE&#10;iEgaB0dGwckEWFfnZyUW2h3p3Rzq2AoOoVCggi7GsZAyNJ2xGBZuNMTal/MWI6++ldrjkcPtINMk&#10;yaTFnrihw9E8dqbZ15NlDLza1/77dvP6+Ta95Hm+PbnwpNTlxfxwDyKaOf6Z4Reff6Bipp2bSAcx&#10;KFiuluxUsMpAsJylPHd8Tu9AVqX8j1/9AAAA//8DAFBLAQItABQABgAIAAAAIQC2gziS/gAAAOEB&#10;AAATAAAAAAAAAAAAAAAAAAAAAABbQ29udGVudF9UeXBlc10ueG1sUEsBAi0AFAAGAAgAAAAhADj9&#10;If/WAAAAlAEAAAsAAAAAAAAAAAAAAAAALwEAAF9yZWxzLy5yZWxzUEsBAi0AFAAGAAgAAAAhAOA6&#10;0XG+AgAAsQUAAA4AAAAAAAAAAAAAAAAALgIAAGRycy9lMm9Eb2MueG1sUEsBAi0AFAAGAAgAAAAh&#10;AMnQPY7dAAAABgEAAA8AAAAAAAAAAAAAAAAAGAUAAGRycy9kb3ducmV2LnhtbFBLBQYAAAAABAAE&#10;APMAAAAiBgAAAAA=&#10;" fillcolor="#00b050" strokecolor="#4a7ebb">
                      <v:shadow on="t" color="black" opacity="22937f" origin=",.5" offset="0,.63889mm"/>
                    </v:oval>
                  </w:pict>
                </mc:Fallback>
              </mc:AlternateContent>
            </w:r>
          </w:p>
        </w:tc>
        <w:tc>
          <w:tcPr>
            <w:tcW w:w="1871" w:type="pct"/>
            <w:shd w:val="clear" w:color="auto" w:fill="auto"/>
          </w:tcPr>
          <w:p w14:paraId="33FACD1B" w14:textId="797EBE24"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Causa:</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 xml:space="preserve"> Aunque el numerador varió, prácticamente se alcanzó la meta y se entregaron a tiempo todos los estímulos que debieron entregarse. La diferencia radica en aquellas personas que no cumplieron con los requisitos reglamentarios para ser acreedores a un estímulo económico.</w:t>
            </w:r>
          </w:p>
        </w:tc>
      </w:tr>
      <w:tr w:rsidR="00124057" w:rsidRPr="00124057" w14:paraId="34028736" w14:textId="77777777" w:rsidTr="00C422E4">
        <w:trPr>
          <w:cantSplit/>
        </w:trPr>
        <w:tc>
          <w:tcPr>
            <w:tcW w:w="362" w:type="pct"/>
            <w:shd w:val="clear" w:color="auto" w:fill="auto"/>
            <w:noWrap/>
            <w:vAlign w:val="center"/>
          </w:tcPr>
          <w:p w14:paraId="59D30FEA"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S191</w:t>
            </w:r>
          </w:p>
        </w:tc>
        <w:tc>
          <w:tcPr>
            <w:tcW w:w="760" w:type="pct"/>
            <w:shd w:val="clear" w:color="auto" w:fill="auto"/>
            <w:noWrap/>
            <w:vAlign w:val="center"/>
          </w:tcPr>
          <w:p w14:paraId="111663B2"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estímulos económicos de la modalidad Investigador Nacional Nivel I con respecto al total de miembros del SNI entregados</w:t>
            </w:r>
          </w:p>
        </w:tc>
        <w:tc>
          <w:tcPr>
            <w:tcW w:w="562" w:type="pct"/>
            <w:shd w:val="clear" w:color="auto" w:fill="auto"/>
            <w:vAlign w:val="center"/>
          </w:tcPr>
          <w:p w14:paraId="22FB556B" w14:textId="34F217FB"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13.46</w:t>
            </w:r>
          </w:p>
        </w:tc>
        <w:tc>
          <w:tcPr>
            <w:tcW w:w="481" w:type="pct"/>
            <w:shd w:val="clear" w:color="auto" w:fill="auto"/>
            <w:vAlign w:val="center"/>
          </w:tcPr>
          <w:p w14:paraId="1F08B4BA" w14:textId="1626F89D"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12.92</w:t>
            </w:r>
          </w:p>
        </w:tc>
        <w:tc>
          <w:tcPr>
            <w:tcW w:w="402" w:type="pct"/>
            <w:shd w:val="clear" w:color="auto" w:fill="auto"/>
            <w:vAlign w:val="center"/>
          </w:tcPr>
          <w:p w14:paraId="2C0A08A8" w14:textId="2CC36E01" w:rsidR="00124057" w:rsidRPr="00124057" w:rsidRDefault="00B72471" w:rsidP="00152DB6">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95.99</w:t>
            </w:r>
          </w:p>
        </w:tc>
        <w:tc>
          <w:tcPr>
            <w:tcW w:w="562" w:type="pct"/>
            <w:shd w:val="clear" w:color="auto" w:fill="auto"/>
            <w:noWrap/>
            <w:vAlign w:val="center"/>
          </w:tcPr>
          <w:p w14:paraId="17FADAA4"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24800" behindDoc="0" locked="0" layoutInCell="1" allowOverlap="1" wp14:anchorId="35C9BCD8" wp14:editId="061EFCF2">
                      <wp:simplePos x="0" y="0"/>
                      <wp:positionH relativeFrom="column">
                        <wp:posOffset>179070</wp:posOffset>
                      </wp:positionH>
                      <wp:positionV relativeFrom="paragraph">
                        <wp:posOffset>72390</wp:posOffset>
                      </wp:positionV>
                      <wp:extent cx="179705" cy="179705"/>
                      <wp:effectExtent l="57150" t="19050" r="10795" b="86995"/>
                      <wp:wrapNone/>
                      <wp:docPr id="85" name="Elipse 85"/>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0512E" id="Elipse 85" o:spid="_x0000_s1026" style="position:absolute;margin-left:14.1pt;margin-top:5.7pt;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4ovQIAALEFAAAOAAAAZHJzL2Uyb0RvYy54bWysVFtv2jAUfp+0/2D5fU1CYQXUUNEypkld&#10;W41OfT44DrHk22xD6H79jp3Qwta9THtJzs3n8p3L5dVeSbLjzgujS1qc5ZRwzUwl9Kak3x+XH8aU&#10;+AC6Amk0L+kz9/Rq9v7dZWunfGAaIyvuCDrRftrakjYh2GmWedZwBf7MWK5RWRunICDrNlnloEXv&#10;SmaDPP+YtcZV1hnGvUfpolPSWfJf15yF+7r2PBBZUswtpK9L33X8ZrNLmG4c2EawPg34hywUCI1B&#10;X1wtIADZOvGHKyWYM97U4YwZlZm6FoynGrCaIv+tmlUDlqdaEBxvX2Dy/88tu9s9OCKqko5HlGhQ&#10;2KNPUljPCQoQndb6KRqt7IPrOY9kLHVfOxX/WATZJ0SfXxDl+0AYCouLyUWOjhmqehq9ZK+PrfPh&#10;MzeKRKKkXKbYCUrY3frQWR+sYjhvpKiWQsrEuM36Rjqyg9jf/DofpZZigBMzqUlb0sloEFMBHLNa&#10;QkBSWSzc6w0lIDc4vyy4FPrksT+OMVyOi+tFZ9RAxbvIk1Ge97PkIXw1VScuMJ1OHhPq3KTqT/zH&#10;4hbgm+5NUkXg8YnUsUaexhixSGBvA3erpmrJWm7dN8D8hxgDR7sSEcDBec/gjI+SBlXOhCcRmjRO&#10;sUVvIJd8RDlI20CXyvlfsjeHHFKSR+llcVi68YjU2lTPOFwYPQYl3rKlwFpvwYcHcLhmKMTTEe7x&#10;U0uDHTI9RUlj3M+35NEepx+1lLS4tti+H1twnBL5ReNeTIrhEN2GxAxHF4NY/rFmfazRW3VjcHKK&#10;lF0io32QB7J2Rj3hhZnHqKgCzTB2Nyg9cxO6c4I3ivH5PJnhblsIt3plWXQecY1dftw/gbP9qAfc&#10;kTtzWHEE/nTcO9v4Upv5NphapF14xRXBjwzehdSG/obFw3PMJ6vXSzv7BQAA//8DAFBLAwQUAAYA&#10;CAAAACEANwr22d4AAAAHAQAADwAAAGRycy9kb3ducmV2LnhtbEyOwU7DMBBE70j8g7VIXBB1Gkgx&#10;IU6FQCAOcCDlwHGbLEnU2A6206Z/z3KC4+zMzrxiPZtB7MmH3lkNy0UCgmztmt62Gj42T5cKRIho&#10;GxycJQ1HCrAuT08KzBt3sO+0r2IruMSGHDV0MY65lKHuyGBYuJEse1/OG4wsfSsbjwcuN4NMk2Ql&#10;DfaWFzoc6aGjeldNhjHwYlf57+z15fNtelZKbY4uPGp9fjbf34GINMe/MPzi8w+UzLR1k22CGDSk&#10;KuUk35fXINjPVhmIrYar2xuQZSH/85c/AAAA//8DAFBLAQItABQABgAIAAAAIQC2gziS/gAAAOEB&#10;AAATAAAAAAAAAAAAAAAAAAAAAABbQ29udGVudF9UeXBlc10ueG1sUEsBAi0AFAAGAAgAAAAhADj9&#10;If/WAAAAlAEAAAsAAAAAAAAAAAAAAAAALwEAAF9yZWxzLy5yZWxzUEsBAi0AFAAGAAgAAAAhAKgi&#10;3ii9AgAAsQUAAA4AAAAAAAAAAAAAAAAALgIAAGRycy9lMm9Eb2MueG1sUEsBAi0AFAAGAAgAAAAh&#10;ADcK9tneAAAABwEAAA8AAAAAAAAAAAAAAAAAFwUAAGRycy9kb3ducmV2LnhtbFBLBQYAAAAABAAE&#10;APMAAAAiBgAAAAA=&#10;" fillcolor="#00b050" strokecolor="#4a7ebb">
                      <v:shadow on="t" color="black" opacity="22937f" origin=",.5" offset="0,.63889mm"/>
                    </v:oval>
                  </w:pict>
                </mc:Fallback>
              </mc:AlternateContent>
            </w:r>
          </w:p>
        </w:tc>
        <w:tc>
          <w:tcPr>
            <w:tcW w:w="1871" w:type="pct"/>
            <w:shd w:val="clear" w:color="auto" w:fill="auto"/>
          </w:tcPr>
          <w:p w14:paraId="31520E7C" w14:textId="2DE73B30"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 xml:space="preserve">Causa: </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Aunque el numerador varió, prácticamente se alcanzó la meta y se entregaron a tiempo todos los estímulos que debieron entregarse. La diferencia radica en aquellas personas que no cumplieron con los requisitos reglamentarios para ser acreedores a un estímulo económico</w:t>
            </w:r>
          </w:p>
        </w:tc>
      </w:tr>
      <w:tr w:rsidR="00124057" w:rsidRPr="00124057" w14:paraId="6D8B8A49" w14:textId="77777777" w:rsidTr="00C422E4">
        <w:trPr>
          <w:cantSplit/>
        </w:trPr>
        <w:tc>
          <w:tcPr>
            <w:tcW w:w="362" w:type="pct"/>
            <w:shd w:val="clear" w:color="auto" w:fill="auto"/>
            <w:noWrap/>
            <w:vAlign w:val="center"/>
          </w:tcPr>
          <w:p w14:paraId="6009E620"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S191</w:t>
            </w:r>
          </w:p>
        </w:tc>
        <w:tc>
          <w:tcPr>
            <w:tcW w:w="760" w:type="pct"/>
            <w:shd w:val="clear" w:color="auto" w:fill="auto"/>
            <w:noWrap/>
            <w:vAlign w:val="center"/>
          </w:tcPr>
          <w:p w14:paraId="76CE4CB6"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del presupuesto ejercido en la operación del programa</w:t>
            </w:r>
          </w:p>
        </w:tc>
        <w:tc>
          <w:tcPr>
            <w:tcW w:w="562" w:type="pct"/>
            <w:shd w:val="clear" w:color="auto" w:fill="auto"/>
            <w:vAlign w:val="center"/>
          </w:tcPr>
          <w:p w14:paraId="6361E251" w14:textId="731FD90A"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23.00</w:t>
            </w:r>
          </w:p>
        </w:tc>
        <w:tc>
          <w:tcPr>
            <w:tcW w:w="481" w:type="pct"/>
            <w:shd w:val="clear" w:color="auto" w:fill="auto"/>
            <w:vAlign w:val="center"/>
          </w:tcPr>
          <w:p w14:paraId="3D343589" w14:textId="006E0872"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24.97</w:t>
            </w:r>
          </w:p>
        </w:tc>
        <w:tc>
          <w:tcPr>
            <w:tcW w:w="402" w:type="pct"/>
            <w:shd w:val="clear" w:color="auto" w:fill="auto"/>
            <w:vAlign w:val="center"/>
          </w:tcPr>
          <w:p w14:paraId="16F6A921" w14:textId="1C40B4A6"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108.57</w:t>
            </w:r>
          </w:p>
        </w:tc>
        <w:tc>
          <w:tcPr>
            <w:tcW w:w="562" w:type="pct"/>
            <w:shd w:val="clear" w:color="auto" w:fill="auto"/>
            <w:noWrap/>
            <w:vAlign w:val="center"/>
          </w:tcPr>
          <w:p w14:paraId="0FC32118" w14:textId="77777777" w:rsidR="00124057" w:rsidRPr="00124057" w:rsidRDefault="00124057"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25824" behindDoc="0" locked="0" layoutInCell="1" allowOverlap="1" wp14:anchorId="1DC7B63D" wp14:editId="21AB19A5">
                      <wp:simplePos x="0" y="0"/>
                      <wp:positionH relativeFrom="column">
                        <wp:posOffset>236855</wp:posOffset>
                      </wp:positionH>
                      <wp:positionV relativeFrom="paragraph">
                        <wp:posOffset>114300</wp:posOffset>
                      </wp:positionV>
                      <wp:extent cx="179705" cy="179705"/>
                      <wp:effectExtent l="57150" t="19050" r="10795" b="86995"/>
                      <wp:wrapNone/>
                      <wp:docPr id="86" name="Elipse 8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EC783" id="Elipse 86" o:spid="_x0000_s1026" style="position:absolute;margin-left:18.65pt;margin-top:9pt;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OBvwIAALEFAAAOAAAAZHJzL2Uyb0RvYy54bWysVFtP2zAUfp+0/2D5fSQpLdCKFBW6TpMY&#10;oJWJ51PHbiw5tme7TeHX79hJod3Yy7SX5Nx8Lt+5XF7tGkW23HlpdEmLk5wSrpmppF6X9Mfj4tMF&#10;JT6ArkAZzUv6zD29mn78cNnaCR+Y2qiKO4JOtJ+0tqR1CHaSZZ7VvAF/YizXqBTGNRCQdeusctCi&#10;90Zlgzw/y1rjKusM496jdN4p6TT5F4KzcC+E54GokmJuIX1d+q7iN5tewmTtwNaS9WnAP2TRgNQY&#10;9NXVHAKQjZN/uGokc8YbEU6YaTIjhGQ81YDVFPlv1SxrsDzVguB4+wqT/39u2d32wRFZlfTijBIN&#10;Dfbos5LWc4ICRKe1foJGS/vges4jGUvdCdfEPxZBdgnR51dE+S4QhsLifHyejyhhqOpp9JK9PbbO&#10;hy/cNCQSJeUqxU5QwvbWh856bxXDeaNktZBKJcatVzfKkS3E/ubX+Si1FAMcmSlN2pKOR4OYCuCY&#10;CQUBycZi4V6vKQG1xvllwaXQR4/9YYzh4qK4nndGNVS8izwe5Xk/Sx7CN1N14gLT6eQxoc5Nqv7I&#10;fyxuDr7u3iRVBB6fKB1r5GmMEYsE9iZwt6yrlqzUxn0HzH+IMXC0KxkBHJz2DM74KGlQ5Ux4kqFO&#10;4xRb9A5yyUeUg7I1dKmc/iV7s88hJXmQXhaHpRuPSK1M9YzDhdFjUOItW0is9RZ8eACHa4ZCPB3h&#10;Hj9CGeyQ6SlKauNe3pNHe5x+1FLS4tpi+35uwHFK1FeNezEuhkN0GxIzHJ0PYvmHmtWhRm+aG4OT&#10;U6TsEhntg9qTwpnmCS/MLEZFFWiGsbtB6Zmb0J0TvFGMz2bJDHfbQrjVS8ui84hr7PLj7gmc7Uc9&#10;4I7cmf2KI/DH497ZxpfazDbBCJl24Q1XBD8yeBdSG/obFg/PIZ+s3i7t9BcAAAD//wMAUEsDBBQA&#10;BgAIAAAAIQD1NIPk3gAAAAcBAAAPAAAAZHJzL2Rvd25yZXYueG1sTI8xT8MwEIV3JP6DdUgsiDoQ&#10;mlohToVAIAYYSBk6usmRRI3PwXba9N9zTDDevXfvvlesZzuIA/rQO9Jws0hAINWu6anV8Ll5vlYg&#10;QjTUmMERajhhgHV5flaYvHFH+sBDFVvBIRRyo6GLccylDHWH1oSFG5FY+3Lemsijb2XjzZHD7SBv&#10;kyST1vTEHzoz4mOH9b6aLGOYq33lv5dvr9v36UUptTm58KT15cX8cA8i4hz/zPCLzzdQMtPOTdQE&#10;MWhIVyk7ea+4EuvZMgOx03CXpSDLQv7nL38AAAD//wMAUEsBAi0AFAAGAAgAAAAhALaDOJL+AAAA&#10;4QEAABMAAAAAAAAAAAAAAAAAAAAAAFtDb250ZW50X1R5cGVzXS54bWxQSwECLQAUAAYACAAAACEA&#10;OP0h/9YAAACUAQAACwAAAAAAAAAAAAAAAAAvAQAAX3JlbHMvLnJlbHNQSwECLQAUAAYACAAAACEA&#10;ti4jgb8CAACxBQAADgAAAAAAAAAAAAAAAAAuAgAAZHJzL2Uyb0RvYy54bWxQSwECLQAUAAYACAAA&#10;ACEA9TSD5N4AAAAHAQAADwAAAAAAAAAAAAAAAAAZBQAAZHJzL2Rvd25yZXYueG1sUEsFBgAAAAAE&#10;AAQA8wAAACQGAAAAAA==&#10;" fillcolor="#00b050" strokecolor="#4a7ebb">
                      <v:shadow on="t" color="black" opacity="22937f" origin=",.5" offset="0,.63889mm"/>
                    </v:oval>
                  </w:pict>
                </mc:Fallback>
              </mc:AlternateContent>
            </w:r>
          </w:p>
        </w:tc>
        <w:tc>
          <w:tcPr>
            <w:tcW w:w="1871" w:type="pct"/>
            <w:shd w:val="clear" w:color="auto" w:fill="auto"/>
          </w:tcPr>
          <w:p w14:paraId="4BD961D8" w14:textId="1375AF2B" w:rsidR="00B62DB8" w:rsidRPr="00124057" w:rsidRDefault="00152DB6" w:rsidP="00B62DB8">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 xml:space="preserve">Causa: </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La meta planteada resultó algo optimista en la estimación  de pagos a beneficiarios por fallecimiento, ayudantes y pago por docencia que se suman al pago de estímulos económicos de los investigadores en sus diferentes niveles. Se ajustará en los próximos trimestres.</w:t>
            </w:r>
          </w:p>
        </w:tc>
      </w:tr>
      <w:tr w:rsidR="00124057" w:rsidRPr="00124057" w14:paraId="099A4158" w14:textId="77777777" w:rsidTr="00C422E4">
        <w:trPr>
          <w:cantSplit/>
        </w:trPr>
        <w:tc>
          <w:tcPr>
            <w:tcW w:w="362" w:type="pct"/>
            <w:shd w:val="clear" w:color="auto" w:fill="auto"/>
            <w:noWrap/>
            <w:vAlign w:val="center"/>
          </w:tcPr>
          <w:p w14:paraId="0F454E10"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lastRenderedPageBreak/>
              <w:t>S192</w:t>
            </w:r>
          </w:p>
        </w:tc>
        <w:tc>
          <w:tcPr>
            <w:tcW w:w="760" w:type="pct"/>
            <w:shd w:val="clear" w:color="auto" w:fill="auto"/>
            <w:noWrap/>
            <w:vAlign w:val="center"/>
          </w:tcPr>
          <w:p w14:paraId="70D06D56"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Informes técnicos enviados a dictaminar respecto de los recibidos</w:t>
            </w:r>
          </w:p>
        </w:tc>
        <w:tc>
          <w:tcPr>
            <w:tcW w:w="562" w:type="pct"/>
            <w:shd w:val="clear" w:color="auto" w:fill="auto"/>
            <w:vAlign w:val="center"/>
          </w:tcPr>
          <w:p w14:paraId="06FF7EEC" w14:textId="28EA40AF"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0.00</w:t>
            </w:r>
          </w:p>
        </w:tc>
        <w:tc>
          <w:tcPr>
            <w:tcW w:w="481" w:type="pct"/>
            <w:shd w:val="clear" w:color="auto" w:fill="auto"/>
            <w:vAlign w:val="center"/>
          </w:tcPr>
          <w:p w14:paraId="12B4CED2" w14:textId="383BFE33"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113.00</w:t>
            </w:r>
          </w:p>
        </w:tc>
        <w:tc>
          <w:tcPr>
            <w:tcW w:w="402" w:type="pct"/>
            <w:shd w:val="clear" w:color="auto" w:fill="auto"/>
            <w:vAlign w:val="center"/>
          </w:tcPr>
          <w:p w14:paraId="3D6F12C6" w14:textId="2C994E80" w:rsidR="00124057" w:rsidRPr="00124057" w:rsidRDefault="005B7751"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0.00</w:t>
            </w:r>
          </w:p>
        </w:tc>
        <w:tc>
          <w:tcPr>
            <w:tcW w:w="562" w:type="pct"/>
            <w:shd w:val="clear" w:color="auto" w:fill="auto"/>
            <w:noWrap/>
            <w:vAlign w:val="center"/>
          </w:tcPr>
          <w:p w14:paraId="69301084" w14:textId="6D0C19A0" w:rsidR="00124057" w:rsidRPr="00124057" w:rsidRDefault="00152DB6"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36064" behindDoc="0" locked="0" layoutInCell="1" allowOverlap="1" wp14:anchorId="2F81BA28" wp14:editId="6E9C5338">
                      <wp:simplePos x="0" y="0"/>
                      <wp:positionH relativeFrom="column">
                        <wp:posOffset>208280</wp:posOffset>
                      </wp:positionH>
                      <wp:positionV relativeFrom="paragraph">
                        <wp:posOffset>75565</wp:posOffset>
                      </wp:positionV>
                      <wp:extent cx="179705" cy="179705"/>
                      <wp:effectExtent l="57150" t="19050" r="10795" b="86995"/>
                      <wp:wrapNone/>
                      <wp:docPr id="96" name="Elipse 96"/>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288DE" id="Elipse 96" o:spid="_x0000_s1026" style="position:absolute;margin-left:16.4pt;margin-top:5.95pt;width:14.15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QRvQIAALEFAAAOAAAAZHJzL2Uyb0RvYy54bWysVN1v2jAQf5+0/8Hy+xpCoS2ooWJlTJO6&#10;thqd+nw4DrHk2J5tCN1fvzsntHTdXqbxEO7Ld/e7r8urfaPZTvqgrCl4fjLgTBphS2U2Bf/+sPxw&#10;wVmIYErQ1siCP8nAr2bv3122biqHtra6lJ6hExOmrSt4HaObZlkQtWwgnFgnDSor6xuIyPpNVnpo&#10;0Xujs+FgcJa11pfOWyFDQOmiU/JZ8l9VUsS7qgoyMl1wzC2mr0/fNX2z2SVMNx5crUSfBvxDFg0o&#10;g0GfXS0gAtt69cZVo4S3wVbxRNgms1WlhEwYEE0++A3NqgYnExYsTnDPZQr/z6243d17psqCT844&#10;M9Bgjz5p5YJkKMDqtC5M0Wjl7n3PBSQJ6r7yDf0jCLZPFX16rqjcRyZQmJ9PzgdjzgSqehq9ZC+P&#10;nQ/xs7QNI6LgUqfYqZSwuwmxsz5YUbhgtSqXSuvE+M36Wnu2A+zvcjnAHyWNAV6ZacNaRDgeUiqA&#10;Y1ZpiEg2DoEHs+EM9AbnV0SfQr96HI5jjJYX+cdFZ1RDKbvIk3EfGONC/GrLTpwPDnJKqHPzNjkC&#10;t4BQd29S6B6DNoRRpjHGWqRib6P0q7ps2Vpv/TfA/EcJNSsVFXB4SpkggzM+ThrkvI2PKtZpnKhF&#10;bypHHvAZyUG7GrpUTv+SvT3kkLAcpZfRsHTjQdTalk84XBg9TUdwYqkQ6w2EeA8e1wxTw9MR7/BT&#10;aYsdsj3FWW39zz/JyR6nH7Wctbi22L4fW/CSM/3F4F5M8tGI9jwxo/H5kOAfa9bHGrNtri1OTo5H&#10;yolEkn3UB7LytnnECzOnqKgCIzB2Nyg9cx27c4I3Ssj5PJnhbjuIN2blBDmnulKXH/aP4F0/6hF3&#10;5NYeVhwL/3rcO1t6aex8G22l0i681BWLTwzehdSG/obR4Tnmk9XLpZ39AgAA//8DAFBLAwQUAAYA&#10;CAAAACEAA61Ya90AAAAHAQAADwAAAGRycy9kb3ducmV2LnhtbEzOwU7DMAwG4DsS7xAZiQtiaTuY&#10;WGk6IQSctzEhuGWNaSoap0qytfD0eCc42r/1+6tWk+vFEUPsPCnIZxkIpMabjloFu9fn6zsQMWky&#10;uveECr4xwqo+P6t0afxIGzxuUyu4hGKpFdiUhlLK2Fh0Os78gMTZpw9OJx5DK03QI5e7XhZZtpBO&#10;d8QfrB7w0WLztT04Bb7YPJn0Hn7sePvxdrV7WcvlfK3U5cX0cA8i4ZT+juHEZzrUbNr7A5koegXz&#10;guWJ9/kSBOeLPAexV3CTFSDrSv73178AAAD//wMAUEsBAi0AFAAGAAgAAAAhALaDOJL+AAAA4QEA&#10;ABMAAAAAAAAAAAAAAAAAAAAAAFtDb250ZW50X1R5cGVzXS54bWxQSwECLQAUAAYACAAAACEAOP0h&#10;/9YAAACUAQAACwAAAAAAAAAAAAAAAAAvAQAAX3JlbHMvLnJlbHNQSwECLQAUAAYACAAAACEA9s00&#10;Eb0CAACxBQAADgAAAAAAAAAAAAAAAAAuAgAAZHJzL2Uyb0RvYy54bWxQSwECLQAUAAYACAAAACEA&#10;A61Ya90AAAAHAQAADwAAAAAAAAAAAAAAAAAXBQAAZHJzL2Rvd25yZXYueG1sUEsFBgAAAAAEAAQA&#10;8wAAACEGAAAAAA==&#10;" fillcolor="red" strokecolor="#4a7ebb">
                      <v:shadow on="t" color="black" opacity="22937f" origin=",.5" offset="0,.63889mm"/>
                    </v:oval>
                  </w:pict>
                </mc:Fallback>
              </mc:AlternateContent>
            </w:r>
          </w:p>
        </w:tc>
        <w:tc>
          <w:tcPr>
            <w:tcW w:w="1871" w:type="pct"/>
            <w:shd w:val="clear" w:color="auto" w:fill="auto"/>
          </w:tcPr>
          <w:p w14:paraId="102086D9" w14:textId="6792DDC7" w:rsidR="00152DB6" w:rsidRPr="00152DB6" w:rsidRDefault="00152DB6" w:rsidP="00152DB6">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Causa:</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 xml:space="preserve"> "Originalmente, la meta planeada del indicador es de 87.03% al término del primer trimestre de 2019. Este indicador se compone de un numerador correspondiente a 275 informes enviados a dictaminar y un denominador de 316 informes recibidos. Sin embargo, dado el cambio gubernamental, prevaleció la incertidumbre respecto a la continuidad del programa. Algunos fondos están proyectados a desaparecer. Por este motivo, la meta registrada corresponde a cero en el numerador y denominador para el primer trimestre de 2019.  Partiendo de aquella cifra original planeada (275/316), el número de informes técnicos recibidos durante el primer trimestre del año 2019 fue menor a lo registrado en el año 2018; en buena medida, porque el volumen de proyectos en seguimiento decayó. Entre las razones de esta caída se encuentran las siguientes: existen propuestas cuya formalización presentan problemas de carácter administrativo por el cambio de dirección; así como técnicos, con la firma del Convenio de Asignación de Recursos en el módulo del sistema informático. Asimismo, la publicación de convocatorias se ha detenido. Por último, varios Fondos Sectoriales reportan anomalías en sus plataformas informáticas, ya que no registran adecuadamente los informes técnicos recibidos y enviados a dictaminar. Sobre al porqué la meta del indicador rebasa el 100%, se presentó un número de informes técnicos recibidos durante las últimas semanas del año 2018. Por lo tanto, el envío de estos informes para su dictamen sucedió durante el primer trimestre del año 2019, superando los recibidos durante este periodo."</w:t>
            </w:r>
          </w:p>
          <w:p w14:paraId="4AE1EA81" w14:textId="77777777" w:rsidR="00152DB6" w:rsidRPr="00152DB6" w:rsidRDefault="00152DB6" w:rsidP="00152DB6">
            <w:pPr>
              <w:spacing w:before="120" w:after="120"/>
              <w:jc w:val="center"/>
              <w:rPr>
                <w:rFonts w:asciiTheme="majorHAnsi" w:eastAsia="Times New Roman" w:hAnsiTheme="majorHAnsi" w:cstheme="majorHAnsi"/>
                <w:color w:val="000000"/>
                <w:sz w:val="16"/>
                <w:szCs w:val="16"/>
                <w:lang w:val="es-ES" w:eastAsia="es-MX"/>
              </w:rPr>
            </w:pPr>
          </w:p>
          <w:p w14:paraId="6C54BB17" w14:textId="0852FE80" w:rsidR="00124057" w:rsidRPr="00124057" w:rsidRDefault="00152DB6" w:rsidP="00152DB6">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Efecto:</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 xml:space="preserve"> La meta alcanzada difiere de la planeada</w:t>
            </w:r>
          </w:p>
        </w:tc>
      </w:tr>
      <w:tr w:rsidR="00124057" w:rsidRPr="00124057" w14:paraId="2912A0ED" w14:textId="77777777" w:rsidTr="00C422E4">
        <w:trPr>
          <w:cantSplit/>
        </w:trPr>
        <w:tc>
          <w:tcPr>
            <w:tcW w:w="362" w:type="pct"/>
            <w:shd w:val="clear" w:color="auto" w:fill="auto"/>
            <w:noWrap/>
            <w:vAlign w:val="center"/>
          </w:tcPr>
          <w:p w14:paraId="442004B5"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lastRenderedPageBreak/>
              <w:t>S278</w:t>
            </w:r>
          </w:p>
        </w:tc>
        <w:tc>
          <w:tcPr>
            <w:tcW w:w="760" w:type="pct"/>
            <w:shd w:val="clear" w:color="auto" w:fill="auto"/>
            <w:noWrap/>
            <w:vAlign w:val="center"/>
          </w:tcPr>
          <w:p w14:paraId="1B6162BB" w14:textId="77777777" w:rsidR="00124057" w:rsidRPr="00124057" w:rsidRDefault="00124057" w:rsidP="00124057">
            <w:pPr>
              <w:spacing w:before="120" w:after="120"/>
              <w:jc w:val="center"/>
              <w:rPr>
                <w:rFonts w:asciiTheme="majorHAnsi" w:eastAsia="Times New Roman" w:hAnsiTheme="majorHAnsi" w:cstheme="majorHAnsi"/>
                <w:color w:val="000000"/>
                <w:sz w:val="16"/>
                <w:szCs w:val="16"/>
                <w:lang w:val="es-ES" w:eastAsia="es-MX"/>
              </w:rPr>
            </w:pPr>
            <w:r w:rsidRPr="00124057">
              <w:rPr>
                <w:rFonts w:asciiTheme="majorHAnsi" w:eastAsia="Times New Roman" w:hAnsiTheme="majorHAnsi" w:cstheme="majorHAnsi"/>
                <w:color w:val="000000"/>
                <w:sz w:val="16"/>
                <w:szCs w:val="16"/>
                <w:lang w:val="es-ES" w:eastAsia="es-MX"/>
              </w:rPr>
              <w:t>Porcentaje de informes técnicos de proyectos enviados a evaluar</w:t>
            </w:r>
          </w:p>
        </w:tc>
        <w:tc>
          <w:tcPr>
            <w:tcW w:w="562" w:type="pct"/>
            <w:shd w:val="clear" w:color="auto" w:fill="auto"/>
            <w:vAlign w:val="center"/>
          </w:tcPr>
          <w:p w14:paraId="021564A6" w14:textId="21FCCFEA"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100.00</w:t>
            </w:r>
          </w:p>
        </w:tc>
        <w:tc>
          <w:tcPr>
            <w:tcW w:w="481" w:type="pct"/>
            <w:shd w:val="clear" w:color="auto" w:fill="auto"/>
            <w:vAlign w:val="center"/>
          </w:tcPr>
          <w:p w14:paraId="09C2D713" w14:textId="64C01AF4"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47.83</w:t>
            </w:r>
          </w:p>
        </w:tc>
        <w:tc>
          <w:tcPr>
            <w:tcW w:w="402" w:type="pct"/>
            <w:shd w:val="clear" w:color="auto" w:fill="auto"/>
            <w:vAlign w:val="center"/>
          </w:tcPr>
          <w:p w14:paraId="12C1B22C" w14:textId="59FCF61F" w:rsidR="00124057" w:rsidRPr="00124057" w:rsidRDefault="00152DB6" w:rsidP="00124057">
            <w:pPr>
              <w:spacing w:before="120" w:after="120"/>
              <w:jc w:val="center"/>
              <w:rPr>
                <w:rFonts w:asciiTheme="majorHAnsi" w:eastAsia="Times New Roman" w:hAnsiTheme="majorHAnsi" w:cstheme="majorHAnsi"/>
                <w:color w:val="000000"/>
                <w:sz w:val="16"/>
                <w:szCs w:val="16"/>
                <w:lang w:val="es-ES" w:eastAsia="es-MX"/>
              </w:rPr>
            </w:pPr>
            <w:r>
              <w:rPr>
                <w:rFonts w:asciiTheme="majorHAnsi" w:eastAsia="Times New Roman" w:hAnsiTheme="majorHAnsi" w:cstheme="majorHAnsi"/>
                <w:color w:val="000000"/>
                <w:sz w:val="16"/>
                <w:szCs w:val="16"/>
                <w:lang w:val="es-ES" w:eastAsia="es-MX"/>
              </w:rPr>
              <w:t>47.83</w:t>
            </w:r>
          </w:p>
        </w:tc>
        <w:tc>
          <w:tcPr>
            <w:tcW w:w="562" w:type="pct"/>
            <w:shd w:val="clear" w:color="auto" w:fill="auto"/>
            <w:noWrap/>
            <w:vAlign w:val="center"/>
          </w:tcPr>
          <w:p w14:paraId="2BDD0A48" w14:textId="03D8AF36" w:rsidR="00124057" w:rsidRPr="00124057" w:rsidRDefault="00152DB6" w:rsidP="00124057">
            <w:pPr>
              <w:spacing w:before="120" w:after="120"/>
              <w:jc w:val="center"/>
              <w:rPr>
                <w:rFonts w:asciiTheme="majorHAnsi" w:eastAsia="Times New Roman" w:hAnsiTheme="majorHAnsi" w:cstheme="majorHAnsi"/>
                <w:noProof/>
                <w:color w:val="000000"/>
                <w:sz w:val="16"/>
                <w:szCs w:val="16"/>
                <w:lang w:val="es-ES"/>
              </w:rPr>
            </w:pPr>
            <w:r w:rsidRPr="00124057">
              <w:rPr>
                <w:rFonts w:asciiTheme="majorHAnsi" w:eastAsia="Times New Roman" w:hAnsiTheme="majorHAnsi" w:cstheme="majorHAnsi"/>
                <w:noProof/>
                <w:color w:val="000000"/>
                <w:sz w:val="16"/>
                <w:szCs w:val="16"/>
                <w:lang w:val="es-ES"/>
              </w:rPr>
              <mc:AlternateContent>
                <mc:Choice Requires="wps">
                  <w:drawing>
                    <wp:anchor distT="0" distB="0" distL="114300" distR="114300" simplePos="0" relativeHeight="251760640" behindDoc="0" locked="0" layoutInCell="1" allowOverlap="1" wp14:anchorId="39480CBB" wp14:editId="0E9FB2E0">
                      <wp:simplePos x="0" y="0"/>
                      <wp:positionH relativeFrom="column">
                        <wp:posOffset>186690</wp:posOffset>
                      </wp:positionH>
                      <wp:positionV relativeFrom="paragraph">
                        <wp:posOffset>38735</wp:posOffset>
                      </wp:positionV>
                      <wp:extent cx="179705" cy="179705"/>
                      <wp:effectExtent l="57150" t="19050" r="10795" b="86995"/>
                      <wp:wrapNone/>
                      <wp:docPr id="120" name="Elipse 120"/>
                      <wp:cNvGraphicFramePr/>
                      <a:graphic xmlns:a="http://schemas.openxmlformats.org/drawingml/2006/main">
                        <a:graphicData uri="http://schemas.microsoft.com/office/word/2010/wordprocessingShape">
                          <wps:wsp>
                            <wps:cNvSpPr/>
                            <wps:spPr>
                              <a:xfrm>
                                <a:off x="0" y="0"/>
                                <a:ext cx="179705" cy="179705"/>
                              </a:xfrm>
                              <a:prstGeom prst="ellipse">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FCCD0" id="Elipse 120" o:spid="_x0000_s1026" style="position:absolute;margin-left:14.7pt;margin-top:3.05pt;width:14.15pt;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cvwIAALMFAAAOAAAAZHJzL2Uyb0RvYy54bWysVE1vGjEQvVfqf7B8bxYINAEFIhpKVSlN&#10;opIq58HrZVfy2q5tWJJf32fvkpCmvVTlsMx4xvPx5nkuLve1YjvpfGX0lPdPepxJLUxe6c2U/7hf&#10;fjjnzAfSOSmj5ZQ/Ss8vZ+/fXTR2IgemNCqXjiGI9pPGTnkZgp1kmRelrMmfGCs1jIVxNQWobpPl&#10;jhpEr1U26PU+Zo1xuXVGSO9xumiNfJbiF4UU4bYovAxMTTlqC+nr0ncdv9nsgiYbR7asRFcG/UMV&#10;NVUaSZ9DLSgQ27rqTai6Es54U4QTYerMFEUlZOoB3fR7v3WzKsnK1AvA8fYZJv//woqb3Z1jVY7Z&#10;DYCPphpD+qwq6yWLJ8CnsX4Ct5W9c53mIcZm94Wr4z/aYPuE6eMzpnIfmMBh/2x81htxJmDqZETJ&#10;Xi5b58MXaWoWhSmXKiVPYNLu2ofW++AV03mjqnxZKZUUt1lfKcd2hAkvlz38YtFI8MpNadZM+Xg0&#10;iKUQiFYoChBri9a93nBGagMGi+BS6leX/XGO4fK8/2nROpWUyzbzeNQlRl4K30zeHvd7h/NYUBvm&#10;bXGxuQX5sr2TUnc9KB17lInIwCKBvQ3Srcq8YWu1dd8J9Q9T1yyvIoCD01gJFLB8lCzQnAkPVSgT&#10;oeKI3iAXI+BaPCdlS2pLOf1L9eZQQ+rlqLwskqWlR5TWJn8EvZA9scNbsazQ6zX5cEcODw2lYXmE&#10;W3wKZTAh00mclcY9/ek8+oP/sHLW4OFifD+35CRn6qvGyxj3h0OEDUkZjs4ird2xZX1s0dv6yoA5&#10;fawpK5IY/YM6iIUz9QN2zDxmhYm0QO6WKJ1yFdqFgi0l5Hye3PC6LYVrvbIiBo+4xinf7x/I2Y7q&#10;AW/kxhweOYB/TffWN97UZr4NpqjSW3jBFeBHBZshjaHbYnH1HOvJ62XXzn4BAAD//wMAUEsDBBQA&#10;BgAIAAAAIQBFAvE33QAAAAYBAAAPAAAAZHJzL2Rvd25yZXYueG1sTI7BTsMwEETvSPyDtUhcEHWa&#10;pi0N2VQIAee2VAhubrzEEfE6it0m8PU1JziOZvTmFevRtuJEvW8cI0wnCQjiyumGa4T96/PtHQgf&#10;FGvVOiaEb/KwLi8vCpVrN/CWTrtQiwhhnysEE0KXS+krQ1b5ieuIY/fpeqtCjH0tda+GCLetTJNk&#10;Ia1qOD4Y1dGjoeprd7QILt0+6fDe/5hh/vF2s3/ZyNVsg3h9NT7cgwg0hr8x/OpHdSij08EdWXvR&#10;IqSrLC4RFlMQsZ4vlyAOCLMsA1kW8r9+eQYAAP//AwBQSwECLQAUAAYACAAAACEAtoM4kv4AAADh&#10;AQAAEwAAAAAAAAAAAAAAAAAAAAAAW0NvbnRlbnRfVHlwZXNdLnhtbFBLAQItABQABgAIAAAAIQA4&#10;/SH/1gAAAJQBAAALAAAAAAAAAAAAAAAAAC8BAABfcmVscy8ucmVsc1BLAQItABQABgAIAAAAIQBy&#10;+19cvwIAALMFAAAOAAAAAAAAAAAAAAAAAC4CAABkcnMvZTJvRG9jLnhtbFBLAQItABQABgAIAAAA&#10;IQBFAvE33QAAAAYBAAAPAAAAAAAAAAAAAAAAABkFAABkcnMvZG93bnJldi54bWxQSwUGAAAAAAQA&#10;BADzAAAAIwYAAAAA&#10;" fillcolor="red" strokecolor="#4a7ebb">
                      <v:shadow on="t" color="black" opacity="22937f" origin=",.5" offset="0,.63889mm"/>
                    </v:oval>
                  </w:pict>
                </mc:Fallback>
              </mc:AlternateContent>
            </w:r>
          </w:p>
        </w:tc>
        <w:tc>
          <w:tcPr>
            <w:tcW w:w="1871" w:type="pct"/>
            <w:shd w:val="clear" w:color="auto" w:fill="auto"/>
          </w:tcPr>
          <w:p w14:paraId="223F32A5" w14:textId="62D2EB5D" w:rsidR="00152DB6" w:rsidRPr="00152DB6" w:rsidRDefault="00152DB6" w:rsidP="00152DB6">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 xml:space="preserve">Causa: </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Se está 52.17 puntos porcentuales por debajo del cumplimiento de la meta planteada. En términos absolutos 24 informes no se enviaron a evaluar debido principalmente a los cambios administrativos en las direcciones regionales.</w:t>
            </w:r>
          </w:p>
          <w:p w14:paraId="6D86B6A9" w14:textId="77777777" w:rsidR="00152DB6" w:rsidRPr="00152DB6" w:rsidRDefault="00152DB6" w:rsidP="00152DB6">
            <w:pPr>
              <w:spacing w:before="120" w:after="120"/>
              <w:jc w:val="center"/>
              <w:rPr>
                <w:rFonts w:asciiTheme="majorHAnsi" w:eastAsia="Times New Roman" w:hAnsiTheme="majorHAnsi" w:cstheme="majorHAnsi"/>
                <w:color w:val="000000"/>
                <w:sz w:val="16"/>
                <w:szCs w:val="16"/>
                <w:lang w:val="es-ES" w:eastAsia="es-MX"/>
              </w:rPr>
            </w:pPr>
          </w:p>
          <w:p w14:paraId="72790DC8" w14:textId="509C4D1D" w:rsidR="00124057" w:rsidRPr="00124057" w:rsidRDefault="00152DB6" w:rsidP="00152DB6">
            <w:pPr>
              <w:spacing w:before="120" w:after="120"/>
              <w:jc w:val="center"/>
              <w:rPr>
                <w:rFonts w:asciiTheme="majorHAnsi" w:eastAsia="Times New Roman" w:hAnsiTheme="majorHAnsi" w:cstheme="majorHAnsi"/>
                <w:color w:val="000000"/>
                <w:sz w:val="16"/>
                <w:szCs w:val="16"/>
                <w:lang w:val="es-ES" w:eastAsia="es-MX"/>
              </w:rPr>
            </w:pPr>
            <w:r w:rsidRPr="00152DB6">
              <w:rPr>
                <w:rFonts w:asciiTheme="majorHAnsi" w:eastAsia="Times New Roman" w:hAnsiTheme="majorHAnsi" w:cstheme="majorHAnsi"/>
                <w:color w:val="000000"/>
                <w:sz w:val="16"/>
                <w:szCs w:val="16"/>
                <w:lang w:val="es-ES" w:eastAsia="es-MX"/>
              </w:rPr>
              <w:t xml:space="preserve">Otros Motivos: </w:t>
            </w:r>
            <w:r>
              <w:rPr>
                <w:rFonts w:asciiTheme="majorHAnsi" w:eastAsia="Times New Roman" w:hAnsiTheme="majorHAnsi" w:cstheme="majorHAnsi"/>
                <w:color w:val="000000"/>
                <w:sz w:val="16"/>
                <w:szCs w:val="16"/>
                <w:lang w:val="es-ES" w:eastAsia="es-MX"/>
              </w:rPr>
              <w:br/>
            </w:r>
            <w:r w:rsidRPr="00152DB6">
              <w:rPr>
                <w:rFonts w:asciiTheme="majorHAnsi" w:eastAsia="Times New Roman" w:hAnsiTheme="majorHAnsi" w:cstheme="majorHAnsi"/>
                <w:color w:val="000000"/>
                <w:sz w:val="16"/>
                <w:szCs w:val="16"/>
                <w:lang w:val="es-ES" w:eastAsia="es-MX"/>
              </w:rPr>
              <w:t>IMPORTANTE: el valor real de este indicador es 47. 82%, que deriva de la aplicación de la fórmula indicada con los siguientes valores: (22/46) *100. Sin embargo, no es posible capturar dicho resultado debido a que el tipo de fórmula vigente [(A/B) *100] indica automáticamente el valor del denominador del acumulado anual (215) al denominador de todos los cocientes de los periodos intermedios. En este caso, afectando el planteamiento de los indicadores de los tres primeros trimestres. En este sentido, la Dirección Adjunta de Desarrollo Regional ha solicitado mediante el memorándum F2000/M-206/2019 a la Dirección Adjunta de Planeación y Evaluación del Consejo Nacional de Ciencia y Tecnología llevar a cabo las gestiones necesarias con su contraparte en la Secretaría de Hacienda y Crédito Público para corregir este, y otros elementos, en la Matriz de Indicadores para Resultados del Pp S278.</w:t>
            </w:r>
            <w:r w:rsidR="00124057" w:rsidRPr="00124057">
              <w:rPr>
                <w:rFonts w:asciiTheme="majorHAnsi" w:eastAsia="Times New Roman" w:hAnsiTheme="majorHAnsi" w:cstheme="majorHAnsi"/>
                <w:color w:val="000000"/>
                <w:sz w:val="16"/>
                <w:szCs w:val="16"/>
                <w:lang w:val="es-ES" w:eastAsia="es-MX"/>
              </w:rPr>
              <w:t>.</w:t>
            </w:r>
          </w:p>
        </w:tc>
      </w:tr>
    </w:tbl>
    <w:p w14:paraId="4B7A75AB" w14:textId="42272A85" w:rsidR="00124057" w:rsidRPr="00124057" w:rsidRDefault="0021373A" w:rsidP="0021373A">
      <w:pPr>
        <w:spacing w:before="120" w:after="120"/>
        <w:jc w:val="both"/>
        <w:rPr>
          <w:rFonts w:asciiTheme="majorHAnsi" w:eastAsia="Times New Roman" w:hAnsiTheme="majorHAnsi" w:cstheme="majorHAnsi"/>
          <w:color w:val="000000"/>
          <w:sz w:val="20"/>
          <w:szCs w:val="20"/>
          <w:lang w:eastAsia="es-MX"/>
        </w:rPr>
      </w:pPr>
      <w:r>
        <w:rPr>
          <w:rFonts w:asciiTheme="majorHAnsi" w:eastAsia="Times New Roman" w:hAnsiTheme="majorHAnsi" w:cstheme="majorHAnsi"/>
          <w:color w:val="000000"/>
          <w:sz w:val="20"/>
          <w:szCs w:val="20"/>
          <w:lang w:eastAsia="es-MX"/>
        </w:rPr>
        <w:t>Fuente: Elaboración propia</w:t>
      </w:r>
    </w:p>
    <w:p w14:paraId="340108F9" w14:textId="77777777" w:rsidR="00124057" w:rsidRPr="00124057" w:rsidRDefault="00124057" w:rsidP="00124057">
      <w:pPr>
        <w:contextualSpacing/>
        <w:jc w:val="both"/>
        <w:rPr>
          <w:b/>
        </w:rPr>
      </w:pPr>
      <w:r w:rsidRPr="00124057">
        <w:rPr>
          <w:b/>
        </w:rPr>
        <w:t>NOTA:</w:t>
      </w:r>
    </w:p>
    <w:p w14:paraId="26C208DB" w14:textId="77777777" w:rsidR="00124057" w:rsidRPr="00124057" w:rsidRDefault="00124057" w:rsidP="00124057">
      <w:pPr>
        <w:contextualSpacing/>
        <w:jc w:val="both"/>
      </w:pPr>
    </w:p>
    <w:p w14:paraId="7CDA8F93" w14:textId="1D36A371" w:rsidR="00124057" w:rsidRPr="00124057" w:rsidRDefault="00124057" w:rsidP="00124057">
      <w:pPr>
        <w:contextualSpacing/>
        <w:jc w:val="both"/>
      </w:pPr>
      <w:r w:rsidRPr="00124057">
        <w:t>Es importante mencionar q</w:t>
      </w:r>
      <w:r w:rsidR="00AD0A22">
        <w:t>ue de acuerdo con el apartado XV</w:t>
      </w:r>
      <w:r w:rsidRPr="00124057">
        <w:t xml:space="preserve"> de los </w:t>
      </w:r>
      <w:r w:rsidRPr="00124057">
        <w:rPr>
          <w:i/>
        </w:rPr>
        <w:t>Lineamientos para la revisión y actualización de metas, mejora de calendarización y seguimiento de la Matriz de Indicadores para Resultados de lo</w:t>
      </w:r>
      <w:r w:rsidR="00152DB6">
        <w:rPr>
          <w:i/>
        </w:rPr>
        <w:t>s programas presupuestarios 2019</w:t>
      </w:r>
      <w:r w:rsidR="00152DB6">
        <w:t xml:space="preserve"> (Lineamentos MIR 2019</w:t>
      </w:r>
      <w:r w:rsidRPr="00124057">
        <w:t xml:space="preserve">), en el cual se establece el </w:t>
      </w:r>
      <w:r w:rsidRPr="00124057">
        <w:rPr>
          <w:i/>
        </w:rPr>
        <w:t>Calendario para el reporte de Avances de las Metas comprometidas en lo</w:t>
      </w:r>
      <w:r w:rsidR="00152DB6">
        <w:rPr>
          <w:i/>
        </w:rPr>
        <w:t>s indicadores del desempeño 2019</w:t>
      </w:r>
      <w:r w:rsidRPr="00124057">
        <w:t>, las Unidades</w:t>
      </w:r>
      <w:r w:rsidR="00AD0A22">
        <w:t xml:space="preserve"> Responsables tienen hasta el 23</w:t>
      </w:r>
      <w:r w:rsidR="00152DB6">
        <w:t xml:space="preserve"> de abril</w:t>
      </w:r>
      <w:r w:rsidRPr="00124057">
        <w:t xml:space="preserve"> de 2019 para atender las recomendaciones realizadas por la Unidad de Evaluación del Desempeño (UED) de la Secretaria de Ha</w:t>
      </w:r>
      <w:r w:rsidR="00AD0A22">
        <w:t>cienda y Crédito Público (SHCP); sin embargo el registro de avance por parte de las Unidades Responsables fue el 11 de abril por</w:t>
      </w:r>
      <w:r w:rsidR="00A939F9">
        <w:t xml:space="preserve"> lo </w:t>
      </w:r>
      <w:bookmarkStart w:id="0" w:name="_GoBack"/>
      <w:bookmarkEnd w:id="0"/>
      <w:r w:rsidR="00AD0A22">
        <w:t xml:space="preserve">que el corte está a esta fecha. </w:t>
      </w:r>
    </w:p>
    <w:p w14:paraId="105FCA2B" w14:textId="77777777" w:rsidR="004C64FF" w:rsidRDefault="004C64FF" w:rsidP="004C64FF">
      <w:pPr>
        <w:rPr>
          <w:rFonts w:ascii="Arial" w:hAnsi="Arial"/>
        </w:rPr>
      </w:pPr>
    </w:p>
    <w:p w14:paraId="45DB9DCD" w14:textId="77777777" w:rsidR="004C64FF" w:rsidRDefault="004C64FF" w:rsidP="004C64FF">
      <w:pPr>
        <w:rPr>
          <w:rFonts w:ascii="Arial" w:hAnsi="Arial"/>
        </w:rPr>
      </w:pPr>
    </w:p>
    <w:p w14:paraId="15419492" w14:textId="77777777" w:rsidR="004C64FF" w:rsidRDefault="004C64FF" w:rsidP="004C64FF">
      <w:pPr>
        <w:rPr>
          <w:rFonts w:ascii="Arial" w:hAnsi="Arial"/>
        </w:rPr>
      </w:pPr>
    </w:p>
    <w:p w14:paraId="0FED6960" w14:textId="77777777" w:rsidR="004C64FF" w:rsidRPr="004C64FF" w:rsidRDefault="004C64FF" w:rsidP="004C64FF">
      <w:pPr>
        <w:rPr>
          <w:rFonts w:ascii="Arial" w:hAnsi="Arial"/>
        </w:rPr>
      </w:pPr>
    </w:p>
    <w:sectPr w:rsidR="004C64FF" w:rsidRPr="004C64FF" w:rsidSect="00504D28">
      <w:headerReference w:type="default" r:id="rId8"/>
      <w:pgSz w:w="12240" w:h="15840"/>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B0CF3" w14:textId="77777777" w:rsidR="006070B9" w:rsidRDefault="006070B9" w:rsidP="005C6F62">
      <w:r>
        <w:separator/>
      </w:r>
    </w:p>
  </w:endnote>
  <w:endnote w:type="continuationSeparator" w:id="0">
    <w:p w14:paraId="182D2C10" w14:textId="77777777" w:rsidR="006070B9" w:rsidRDefault="006070B9"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6224" w14:textId="77777777" w:rsidR="006070B9" w:rsidRDefault="006070B9" w:rsidP="005C6F62">
      <w:r>
        <w:separator/>
      </w:r>
    </w:p>
  </w:footnote>
  <w:footnote w:type="continuationSeparator" w:id="0">
    <w:p w14:paraId="3AE6831D" w14:textId="77777777" w:rsidR="006070B9" w:rsidRDefault="006070B9"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2995" w14:textId="0E0CCFA1" w:rsidR="00125CD0" w:rsidRDefault="00125CD0">
    <w:pPr>
      <w:pStyle w:val="Encabezado"/>
    </w:pPr>
    <w:r>
      <w:rPr>
        <w:noProof/>
        <w:lang w:val="es-ES"/>
      </w:rPr>
      <w:drawing>
        <wp:anchor distT="0" distB="0" distL="114300" distR="114300" simplePos="0" relativeHeight="251658240" behindDoc="1" locked="0" layoutInCell="1" allowOverlap="1" wp14:anchorId="1C860219" wp14:editId="3F233398">
          <wp:simplePos x="0" y="0"/>
          <wp:positionH relativeFrom="column">
            <wp:posOffset>-915670</wp:posOffset>
          </wp:positionH>
          <wp:positionV relativeFrom="paragraph">
            <wp:posOffset>-480695</wp:posOffset>
          </wp:positionV>
          <wp:extent cx="7896094" cy="10085354"/>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stretch>
                    <a:fillRect/>
                  </a:stretch>
                </pic:blipFill>
                <pic:spPr>
                  <a:xfrm>
                    <a:off x="0" y="0"/>
                    <a:ext cx="7896094" cy="10085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48D"/>
    <w:multiLevelType w:val="hybridMultilevel"/>
    <w:tmpl w:val="3D0444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DA76D36"/>
    <w:multiLevelType w:val="hybridMultilevel"/>
    <w:tmpl w:val="123003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F57AD"/>
    <w:multiLevelType w:val="hybridMultilevel"/>
    <w:tmpl w:val="B11C2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27C69"/>
    <w:multiLevelType w:val="hybridMultilevel"/>
    <w:tmpl w:val="45207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A12872"/>
    <w:multiLevelType w:val="hybridMultilevel"/>
    <w:tmpl w:val="9F4498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F046B"/>
    <w:multiLevelType w:val="hybridMultilevel"/>
    <w:tmpl w:val="57B6713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F13966"/>
    <w:multiLevelType w:val="hybridMultilevel"/>
    <w:tmpl w:val="8B68A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B7335A"/>
    <w:multiLevelType w:val="hybridMultilevel"/>
    <w:tmpl w:val="AB7EB0CA"/>
    <w:lvl w:ilvl="0" w:tplc="080A000F">
      <w:start w:val="1"/>
      <w:numFmt w:val="decimal"/>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1" w15:restartNumberingAfterBreak="0">
    <w:nsid w:val="66076F57"/>
    <w:multiLevelType w:val="hybridMultilevel"/>
    <w:tmpl w:val="3A949E9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714E037D"/>
    <w:multiLevelType w:val="multilevel"/>
    <w:tmpl w:val="0F34C4E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0"/>
        </w:tabs>
        <w:ind w:left="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2160"/>
        </w:tabs>
        <w:ind w:left="2160" w:hanging="360"/>
      </w:pPr>
      <w:rPr>
        <w:rFonts w:ascii="Wingdings" w:hAnsi="Wingdings" w:hint="default"/>
        <w:sz w:val="20"/>
      </w:rPr>
    </w:lvl>
  </w:abstractNum>
  <w:abstractNum w:abstractNumId="13" w15:restartNumberingAfterBreak="0">
    <w:nsid w:val="720866C7"/>
    <w:multiLevelType w:val="hybridMultilevel"/>
    <w:tmpl w:val="5E3A5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3"/>
  </w:num>
  <w:num w:numId="5">
    <w:abstractNumId w:val="13"/>
  </w:num>
  <w:num w:numId="6">
    <w:abstractNumId w:val="9"/>
  </w:num>
  <w:num w:numId="7">
    <w:abstractNumId w:val="12"/>
  </w:num>
  <w:num w:numId="8">
    <w:abstractNumId w:val="6"/>
  </w:num>
  <w:num w:numId="9">
    <w:abstractNumId w:val="1"/>
  </w:num>
  <w:num w:numId="10">
    <w:abstractNumId w:val="2"/>
  </w:num>
  <w:num w:numId="11">
    <w:abstractNumId w:val="8"/>
  </w:num>
  <w:num w:numId="12">
    <w:abstractNumId w:val="4"/>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2"/>
    <w:rsid w:val="00075990"/>
    <w:rsid w:val="00124057"/>
    <w:rsid w:val="00125CD0"/>
    <w:rsid w:val="00152DB6"/>
    <w:rsid w:val="0018280B"/>
    <w:rsid w:val="001D1376"/>
    <w:rsid w:val="001E0A72"/>
    <w:rsid w:val="002124AE"/>
    <w:rsid w:val="0021373A"/>
    <w:rsid w:val="002704BF"/>
    <w:rsid w:val="0027516C"/>
    <w:rsid w:val="002A3D81"/>
    <w:rsid w:val="002D2C06"/>
    <w:rsid w:val="002F4A66"/>
    <w:rsid w:val="003067D8"/>
    <w:rsid w:val="003460C0"/>
    <w:rsid w:val="003759E4"/>
    <w:rsid w:val="00381816"/>
    <w:rsid w:val="003A4E3D"/>
    <w:rsid w:val="003B277E"/>
    <w:rsid w:val="0044178C"/>
    <w:rsid w:val="004C64FF"/>
    <w:rsid w:val="00504D28"/>
    <w:rsid w:val="0059625F"/>
    <w:rsid w:val="005B7751"/>
    <w:rsid w:val="005C6F62"/>
    <w:rsid w:val="006070B9"/>
    <w:rsid w:val="00673B76"/>
    <w:rsid w:val="006801B6"/>
    <w:rsid w:val="0069291B"/>
    <w:rsid w:val="006D0505"/>
    <w:rsid w:val="006D68C7"/>
    <w:rsid w:val="006E3E2D"/>
    <w:rsid w:val="007114FA"/>
    <w:rsid w:val="00745CFF"/>
    <w:rsid w:val="00814700"/>
    <w:rsid w:val="008A1D3D"/>
    <w:rsid w:val="0090066B"/>
    <w:rsid w:val="00996014"/>
    <w:rsid w:val="00A00D9E"/>
    <w:rsid w:val="00A33F3E"/>
    <w:rsid w:val="00A477CB"/>
    <w:rsid w:val="00A939F9"/>
    <w:rsid w:val="00AD0A22"/>
    <w:rsid w:val="00B039F9"/>
    <w:rsid w:val="00B16560"/>
    <w:rsid w:val="00B62DB8"/>
    <w:rsid w:val="00B72471"/>
    <w:rsid w:val="00B87815"/>
    <w:rsid w:val="00BF24F6"/>
    <w:rsid w:val="00C17053"/>
    <w:rsid w:val="00C422E4"/>
    <w:rsid w:val="00C63229"/>
    <w:rsid w:val="00C806D8"/>
    <w:rsid w:val="00C826A2"/>
    <w:rsid w:val="00C83E34"/>
    <w:rsid w:val="00CE7E61"/>
    <w:rsid w:val="00D042DC"/>
    <w:rsid w:val="00D0789F"/>
    <w:rsid w:val="00D15D3A"/>
    <w:rsid w:val="00D20993"/>
    <w:rsid w:val="00E03D15"/>
    <w:rsid w:val="00E20A52"/>
    <w:rsid w:val="00E57DD3"/>
    <w:rsid w:val="00E9134E"/>
    <w:rsid w:val="00ED0952"/>
    <w:rsid w:val="00ED13F0"/>
    <w:rsid w:val="00F1112B"/>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6A171EBB-9B88-7A49-992A-BB191DB7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124057"/>
    <w:pPr>
      <w:keepNext/>
      <w:keepLines/>
      <w:spacing w:before="40" w:line="276" w:lineRule="auto"/>
      <w:outlineLvl w:val="2"/>
    </w:pPr>
    <w:rPr>
      <w:rFonts w:ascii="Cambria" w:eastAsia="Times New Roman" w:hAnsi="Cambria" w:cs="Times New Roman"/>
      <w:color w:val="243F6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character" w:customStyle="1" w:styleId="Ttulo3Car">
    <w:name w:val="Título 3 Car"/>
    <w:basedOn w:val="Fuentedeprrafopredeter"/>
    <w:link w:val="Ttulo3"/>
    <w:uiPriority w:val="9"/>
    <w:rsid w:val="00124057"/>
    <w:rPr>
      <w:rFonts w:ascii="Cambria" w:eastAsia="Times New Roman" w:hAnsi="Cambria" w:cs="Times New Roman"/>
      <w:color w:val="243F60"/>
      <w:lang w:val="es-MX" w:eastAsia="en-US"/>
    </w:rPr>
  </w:style>
  <w:style w:type="paragraph" w:styleId="Prrafodelista">
    <w:name w:val="List Paragraph"/>
    <w:basedOn w:val="Normal"/>
    <w:link w:val="PrrafodelistaCar"/>
    <w:uiPriority w:val="34"/>
    <w:qFormat/>
    <w:rsid w:val="00124057"/>
    <w:pPr>
      <w:ind w:left="720"/>
    </w:pPr>
    <w:rPr>
      <w:rFonts w:ascii="Calibri" w:eastAsiaTheme="minorHAnsi" w:hAnsi="Calibri" w:cs="Times New Roman"/>
      <w:sz w:val="22"/>
      <w:szCs w:val="22"/>
      <w:lang w:val="es-MX" w:eastAsia="es-MX"/>
    </w:rPr>
  </w:style>
  <w:style w:type="table" w:styleId="Tablaconcuadrcula">
    <w:name w:val="Table Grid"/>
    <w:basedOn w:val="Tablanormal"/>
    <w:uiPriority w:val="59"/>
    <w:rsid w:val="00124057"/>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124057"/>
    <w:rPr>
      <w:smallCaps/>
      <w:color w:val="C0504D" w:themeColor="accent2"/>
      <w:u w:val="single"/>
    </w:rPr>
  </w:style>
  <w:style w:type="character" w:customStyle="1" w:styleId="PrrafodelistaCar">
    <w:name w:val="Párrafo de lista Car"/>
    <w:link w:val="Prrafodelista"/>
    <w:uiPriority w:val="34"/>
    <w:locked/>
    <w:rsid w:val="00124057"/>
    <w:rPr>
      <w:rFonts w:ascii="Calibri" w:eastAsiaTheme="minorHAnsi" w:hAnsi="Calibri" w:cs="Times New Roman"/>
      <w:sz w:val="22"/>
      <w:szCs w:val="22"/>
      <w:lang w:val="es-MX" w:eastAsia="es-MX"/>
    </w:rPr>
  </w:style>
  <w:style w:type="character" w:customStyle="1" w:styleId="st">
    <w:name w:val="st"/>
    <w:basedOn w:val="Fuentedeprrafopredeter"/>
    <w:rsid w:val="00124057"/>
  </w:style>
  <w:style w:type="paragraph" w:styleId="Textoindependiente2">
    <w:name w:val="Body Text 2"/>
    <w:basedOn w:val="Normal"/>
    <w:link w:val="Textoindependiente2Car"/>
    <w:uiPriority w:val="99"/>
    <w:rsid w:val="00124057"/>
    <w:pPr>
      <w:jc w:val="both"/>
    </w:pPr>
    <w:rPr>
      <w:rFonts w:ascii="Arial" w:eastAsia="Times New Roman" w:hAnsi="Arial" w:cs="Times New Roman"/>
      <w:sz w:val="20"/>
      <w:szCs w:val="20"/>
      <w:lang w:val="es-ES"/>
    </w:rPr>
  </w:style>
  <w:style w:type="character" w:customStyle="1" w:styleId="Textoindependiente2Car">
    <w:name w:val="Texto independiente 2 Car"/>
    <w:basedOn w:val="Fuentedeprrafopredeter"/>
    <w:link w:val="Textoindependiente2"/>
    <w:uiPriority w:val="99"/>
    <w:rsid w:val="00124057"/>
    <w:rPr>
      <w:rFonts w:ascii="Arial" w:eastAsia="Times New Roman" w:hAnsi="Arial" w:cs="Times New Roman"/>
      <w:sz w:val="20"/>
      <w:szCs w:val="20"/>
      <w:lang w:val="es-ES"/>
    </w:rPr>
  </w:style>
  <w:style w:type="character" w:styleId="Hipervnculo">
    <w:name w:val="Hyperlink"/>
    <w:basedOn w:val="Fuentedeprrafopredeter"/>
    <w:uiPriority w:val="99"/>
    <w:unhideWhenUsed/>
    <w:rsid w:val="00124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3669-FEF7-49C9-96BA-68BD3B6F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2555</Words>
  <Characters>14055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Juan Braulio Rivera Lomas</cp:lastModifiedBy>
  <cp:revision>26</cp:revision>
  <cp:lastPrinted>2018-12-10T18:18:00Z</cp:lastPrinted>
  <dcterms:created xsi:type="dcterms:W3CDTF">2019-04-15T17:22:00Z</dcterms:created>
  <dcterms:modified xsi:type="dcterms:W3CDTF">2019-04-22T15:35:00Z</dcterms:modified>
</cp:coreProperties>
</file>