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32F57" w14:textId="77777777" w:rsidR="00A71BED" w:rsidRPr="002F0ACE" w:rsidRDefault="00A71BED" w:rsidP="00A71BED">
      <w:pPr>
        <w:jc w:val="center"/>
        <w:rPr>
          <w:rFonts w:ascii="Times New Roman" w:hAnsi="Times New Roman" w:cs="Times New Roman"/>
          <w:b/>
          <w:sz w:val="28"/>
          <w:szCs w:val="28"/>
        </w:rPr>
      </w:pPr>
      <w:r w:rsidRPr="002F0ACE">
        <w:rPr>
          <w:rFonts w:ascii="Times New Roman" w:hAnsi="Times New Roman" w:cs="Times New Roman"/>
          <w:b/>
          <w:sz w:val="28"/>
          <w:szCs w:val="28"/>
        </w:rPr>
        <w:t>Informe de desempeño de los Programas Presupuestarios del CONACYT</w:t>
      </w:r>
    </w:p>
    <w:p w14:paraId="0F9C2714" w14:textId="77777777" w:rsidR="00A71BED" w:rsidRPr="002F0ACE" w:rsidRDefault="00A71BED" w:rsidP="00A71BED">
      <w:pPr>
        <w:jc w:val="center"/>
        <w:rPr>
          <w:rFonts w:ascii="Times New Roman" w:hAnsi="Times New Roman" w:cs="Times New Roman"/>
          <w:b/>
          <w:sz w:val="28"/>
          <w:szCs w:val="28"/>
        </w:rPr>
      </w:pPr>
    </w:p>
    <w:p w14:paraId="7493D127" w14:textId="54486F13" w:rsidR="00A71BED" w:rsidRPr="002F0ACE" w:rsidRDefault="00A71BED" w:rsidP="00A71BED">
      <w:pPr>
        <w:jc w:val="center"/>
        <w:rPr>
          <w:rFonts w:ascii="Times New Roman" w:hAnsi="Times New Roman" w:cs="Times New Roman"/>
          <w:b/>
          <w:sz w:val="28"/>
          <w:szCs w:val="28"/>
        </w:rPr>
      </w:pPr>
      <w:r w:rsidRPr="002F0ACE">
        <w:rPr>
          <w:rFonts w:ascii="Times New Roman" w:hAnsi="Times New Roman" w:cs="Times New Roman"/>
          <w:b/>
          <w:sz w:val="28"/>
          <w:szCs w:val="28"/>
        </w:rPr>
        <w:t>(</w:t>
      </w:r>
      <w:r w:rsidR="00DE7E26">
        <w:rPr>
          <w:rFonts w:ascii="Times New Roman" w:hAnsi="Times New Roman" w:cs="Times New Roman"/>
          <w:b/>
          <w:sz w:val="28"/>
          <w:szCs w:val="28"/>
        </w:rPr>
        <w:t>4</w:t>
      </w:r>
      <w:r w:rsidR="002F0ACE">
        <w:rPr>
          <w:rFonts w:ascii="Times New Roman" w:hAnsi="Times New Roman" w:cs="Times New Roman"/>
          <w:b/>
          <w:sz w:val="28"/>
          <w:szCs w:val="28"/>
        </w:rPr>
        <w:t>º Trimestre 2019</w:t>
      </w:r>
      <w:r w:rsidRPr="002F0ACE">
        <w:rPr>
          <w:rFonts w:ascii="Times New Roman" w:hAnsi="Times New Roman" w:cs="Times New Roman"/>
          <w:b/>
          <w:sz w:val="28"/>
          <w:szCs w:val="28"/>
        </w:rPr>
        <w:t>)</w:t>
      </w:r>
    </w:p>
    <w:p w14:paraId="65CBA96C" w14:textId="77777777" w:rsidR="00A71BED" w:rsidRPr="002F0ACE" w:rsidRDefault="00A71BED" w:rsidP="00A71BED">
      <w:pPr>
        <w:jc w:val="center"/>
        <w:rPr>
          <w:rFonts w:ascii="Times New Roman" w:hAnsi="Times New Roman" w:cs="Times New Roman"/>
          <w:sz w:val="28"/>
          <w:szCs w:val="28"/>
        </w:rPr>
      </w:pPr>
    </w:p>
    <w:p w14:paraId="512F6F92" w14:textId="77777777" w:rsidR="00A71BED" w:rsidRPr="00A71BED" w:rsidRDefault="00A71BED" w:rsidP="00A71BED">
      <w:pPr>
        <w:jc w:val="both"/>
        <w:rPr>
          <w:rFonts w:ascii="Times New Roman" w:hAnsi="Times New Roman" w:cs="Times New Roman"/>
        </w:rPr>
      </w:pPr>
      <w:r w:rsidRPr="00A71BED">
        <w:rPr>
          <w:rFonts w:ascii="Times New Roman" w:hAnsi="Times New Roman" w:cs="Times New Roman"/>
        </w:rPr>
        <w:t>En atención a la normatividad vigente en materia de monitoreo y evaluación, el Consejo Nacional de Ciencia y Tecnología (CONACYT), se encuentra mandatado a realizar reportes periódicos de los avances de metas de indicadores, correspondientes a sus programas presupuestarios. Dichos reportes, se basan en la información contenida en las Matrices de Indicadores de Resultados (MIR), registradas en el Portal aplicativo de la Secretaria de Hacienda (PASH).</w:t>
      </w:r>
    </w:p>
    <w:p w14:paraId="23D81DFD" w14:textId="77777777" w:rsidR="00A71BED" w:rsidRPr="00A71BED" w:rsidRDefault="00A71BED" w:rsidP="00A71BED">
      <w:pPr>
        <w:jc w:val="both"/>
        <w:rPr>
          <w:rFonts w:ascii="Times New Roman" w:hAnsi="Times New Roman" w:cs="Times New Roman"/>
        </w:rPr>
      </w:pPr>
    </w:p>
    <w:p w14:paraId="3503469B" w14:textId="77777777" w:rsidR="00A71BED" w:rsidRPr="00A71BED" w:rsidRDefault="00A71BED" w:rsidP="00A71BED">
      <w:pPr>
        <w:jc w:val="both"/>
        <w:rPr>
          <w:rFonts w:ascii="Times New Roman" w:hAnsi="Times New Roman" w:cs="Times New Roman"/>
        </w:rPr>
      </w:pPr>
      <w:r w:rsidRPr="00A71BED">
        <w:rPr>
          <w:rFonts w:ascii="Times New Roman" w:hAnsi="Times New Roman" w:cs="Times New Roman"/>
        </w:rPr>
        <w:t>La mecánica de reporte ante las diversas instancias fiscalizadoras es la siguiente:</w:t>
      </w:r>
    </w:p>
    <w:p w14:paraId="59B87E06" w14:textId="77777777" w:rsidR="00A71BED" w:rsidRPr="00A71BED" w:rsidRDefault="00A71BED" w:rsidP="00A71BED">
      <w:pPr>
        <w:jc w:val="both"/>
        <w:rPr>
          <w:rFonts w:ascii="Times New Roman" w:hAnsi="Times New Roman" w:cs="Times New Roman"/>
        </w:rPr>
      </w:pPr>
    </w:p>
    <w:p w14:paraId="15C7A498" w14:textId="27294475" w:rsidR="00A71BED" w:rsidRPr="00A71BED" w:rsidRDefault="00A71BED" w:rsidP="00A71BED">
      <w:pPr>
        <w:pStyle w:val="Prrafodelista"/>
        <w:numPr>
          <w:ilvl w:val="0"/>
          <w:numId w:val="1"/>
        </w:numPr>
        <w:jc w:val="both"/>
        <w:rPr>
          <w:rFonts w:ascii="Times New Roman" w:hAnsi="Times New Roman" w:cs="Times New Roman"/>
        </w:rPr>
      </w:pPr>
      <w:r w:rsidRPr="00A71BED">
        <w:rPr>
          <w:rFonts w:ascii="Times New Roman" w:hAnsi="Times New Roman" w:cs="Times New Roman"/>
        </w:rPr>
        <w:t>El primer y tercer trimestre, se reportan los indicadores de periodicidad trimestral.</w:t>
      </w:r>
    </w:p>
    <w:p w14:paraId="27020ABA" w14:textId="2433491C" w:rsidR="00A71BED" w:rsidRPr="00A71BED" w:rsidRDefault="00A71BED" w:rsidP="00A71BED">
      <w:pPr>
        <w:pStyle w:val="Prrafodelista"/>
        <w:numPr>
          <w:ilvl w:val="0"/>
          <w:numId w:val="1"/>
        </w:numPr>
        <w:jc w:val="both"/>
        <w:rPr>
          <w:rFonts w:ascii="Times New Roman" w:hAnsi="Times New Roman" w:cs="Times New Roman"/>
        </w:rPr>
      </w:pPr>
      <w:r w:rsidRPr="00A71BED">
        <w:rPr>
          <w:rFonts w:ascii="Times New Roman" w:hAnsi="Times New Roman" w:cs="Times New Roman"/>
        </w:rPr>
        <w:t>El segundo trimest</w:t>
      </w:r>
      <w:r w:rsidR="009409DA">
        <w:rPr>
          <w:rFonts w:ascii="Times New Roman" w:hAnsi="Times New Roman" w:cs="Times New Roman"/>
        </w:rPr>
        <w:t>re, se reportan los indicadores trimestrales</w:t>
      </w:r>
      <w:r w:rsidRPr="00A71BED">
        <w:rPr>
          <w:rFonts w:ascii="Times New Roman" w:hAnsi="Times New Roman" w:cs="Times New Roman"/>
        </w:rPr>
        <w:t>, así como los que derivan del primer semestre.</w:t>
      </w:r>
    </w:p>
    <w:p w14:paraId="14623B31" w14:textId="6570443E" w:rsidR="00A71BED" w:rsidRPr="00A71BED" w:rsidRDefault="00A71BED" w:rsidP="00A71BED">
      <w:pPr>
        <w:pStyle w:val="Prrafodelista"/>
        <w:numPr>
          <w:ilvl w:val="0"/>
          <w:numId w:val="1"/>
        </w:numPr>
        <w:jc w:val="both"/>
        <w:rPr>
          <w:rFonts w:ascii="Times New Roman" w:hAnsi="Times New Roman" w:cs="Times New Roman"/>
        </w:rPr>
      </w:pPr>
      <w:r w:rsidRPr="00A71BED">
        <w:rPr>
          <w:rFonts w:ascii="Times New Roman" w:hAnsi="Times New Roman" w:cs="Times New Roman"/>
        </w:rPr>
        <w:t xml:space="preserve">El cierre de año, se reportan los </w:t>
      </w:r>
      <w:r w:rsidR="0018471F">
        <w:rPr>
          <w:rFonts w:ascii="Times New Roman" w:hAnsi="Times New Roman" w:cs="Times New Roman"/>
        </w:rPr>
        <w:t>indicadores trimestrales</w:t>
      </w:r>
      <w:r w:rsidRPr="00A71BED">
        <w:rPr>
          <w:rFonts w:ascii="Times New Roman" w:hAnsi="Times New Roman" w:cs="Times New Roman"/>
        </w:rPr>
        <w:t>, los del segundo semest</w:t>
      </w:r>
      <w:r w:rsidR="00FF6B3E">
        <w:rPr>
          <w:rFonts w:ascii="Times New Roman" w:hAnsi="Times New Roman" w:cs="Times New Roman"/>
        </w:rPr>
        <w:t>re y los anuales</w:t>
      </w:r>
      <w:r w:rsidRPr="00A71BED">
        <w:rPr>
          <w:rFonts w:ascii="Times New Roman" w:hAnsi="Times New Roman" w:cs="Times New Roman"/>
        </w:rPr>
        <w:t xml:space="preserve">. </w:t>
      </w:r>
    </w:p>
    <w:p w14:paraId="1785946E" w14:textId="77777777" w:rsidR="00A71BED" w:rsidRPr="00A71BED" w:rsidRDefault="00A71BED" w:rsidP="00A71BED">
      <w:pPr>
        <w:ind w:left="360"/>
        <w:jc w:val="both"/>
        <w:rPr>
          <w:rFonts w:ascii="Times New Roman" w:hAnsi="Times New Roman" w:cs="Times New Roman"/>
        </w:rPr>
      </w:pPr>
    </w:p>
    <w:p w14:paraId="7A9BFA54" w14:textId="0195EF21" w:rsidR="00A71BED" w:rsidRPr="00A71BED" w:rsidRDefault="00A71BED" w:rsidP="00A71BED">
      <w:pPr>
        <w:jc w:val="both"/>
        <w:rPr>
          <w:rFonts w:ascii="Times New Roman" w:hAnsi="Times New Roman" w:cs="Times New Roman"/>
        </w:rPr>
      </w:pPr>
      <w:r w:rsidRPr="00A71BED">
        <w:rPr>
          <w:rFonts w:ascii="Times New Roman" w:hAnsi="Times New Roman" w:cs="Times New Roman"/>
        </w:rPr>
        <w:t xml:space="preserve">Cabe señalar </w:t>
      </w:r>
      <w:r w:rsidR="002F0ACE" w:rsidRPr="00A71BED">
        <w:rPr>
          <w:rFonts w:ascii="Times New Roman" w:hAnsi="Times New Roman" w:cs="Times New Roman"/>
        </w:rPr>
        <w:t>que,</w:t>
      </w:r>
      <w:r w:rsidRPr="00A71BED">
        <w:rPr>
          <w:rFonts w:ascii="Times New Roman" w:hAnsi="Times New Roman" w:cs="Times New Roman"/>
        </w:rPr>
        <w:t xml:space="preserve"> para calcular el desempeño de cada programa, se genera un cociente entre la meta alcanzada con respecto a la meta planeada para el trimestre correspondiente, multiplicado por 100 a fin de expresarse como porcentaje. </w:t>
      </w:r>
    </w:p>
    <w:p w14:paraId="4CDF5576" w14:textId="77777777" w:rsidR="00A71BED" w:rsidRPr="00A71BED" w:rsidRDefault="00A71BED" w:rsidP="00A71BED">
      <w:pPr>
        <w:jc w:val="both"/>
        <w:rPr>
          <w:rFonts w:ascii="Times New Roman" w:hAnsi="Times New Roman" w:cs="Times New Roman"/>
        </w:rPr>
      </w:pPr>
    </w:p>
    <w:p w14:paraId="2EDE6DE7" w14:textId="4BA273D9" w:rsidR="00A71BED" w:rsidRPr="00A71BED" w:rsidRDefault="00247BEB" w:rsidP="00A71BED">
      <w:pPr>
        <w:jc w:val="both"/>
        <w:rPr>
          <w:rFonts w:ascii="Times New Roman" w:hAnsi="Times New Roman" w:cs="Times New Roman"/>
        </w:rPr>
      </w:pPr>
      <w:r>
        <w:rPr>
          <w:rFonts w:ascii="Times New Roman" w:hAnsi="Times New Roman" w:cs="Times New Roman"/>
        </w:rPr>
        <w:t>Los rangos para evaluar</w:t>
      </w:r>
      <w:r w:rsidR="00A71BED" w:rsidRPr="00A71BED">
        <w:rPr>
          <w:rFonts w:ascii="Times New Roman" w:hAnsi="Times New Roman" w:cs="Times New Roman"/>
        </w:rPr>
        <w:t xml:space="preserve"> el desempeño de los programas presupuestarios son los siguientes:</w:t>
      </w:r>
    </w:p>
    <w:p w14:paraId="262B0F2F" w14:textId="77777777" w:rsidR="00A71BED" w:rsidRPr="00A71BED" w:rsidRDefault="00A71BED" w:rsidP="00A71BED">
      <w:pPr>
        <w:jc w:val="both"/>
        <w:rPr>
          <w:rFonts w:ascii="Times New Roman" w:hAnsi="Times New Roman" w:cs="Times New Roman"/>
        </w:rPr>
      </w:pPr>
    </w:p>
    <w:p w14:paraId="5CF256DD" w14:textId="77777777" w:rsidR="00A71BED" w:rsidRPr="00A71BED" w:rsidRDefault="00A71BED" w:rsidP="00A71BED">
      <w:pPr>
        <w:pStyle w:val="Prrafodelista"/>
        <w:numPr>
          <w:ilvl w:val="0"/>
          <w:numId w:val="2"/>
        </w:numPr>
        <w:jc w:val="both"/>
        <w:rPr>
          <w:rFonts w:ascii="Times New Roman" w:hAnsi="Times New Roman" w:cs="Times New Roman"/>
        </w:rPr>
      </w:pPr>
      <w:r w:rsidRPr="00A71BED">
        <w:rPr>
          <w:rFonts w:ascii="Times New Roman" w:hAnsi="Times New Roman" w:cs="Times New Roman"/>
        </w:rPr>
        <w:t>Un indicador tiene un desempeño adecuado cuando su porcentaje de cumplimiento oscila entre el 80 y el 115 por ciento. Esto, debido a los factores imponderables que eventualmente pueden incidir sobre el indicador, generando que el desempeño no sea igual a 100 por ciento.</w:t>
      </w:r>
    </w:p>
    <w:p w14:paraId="57FB3F7D" w14:textId="77777777" w:rsidR="00A71BED" w:rsidRPr="00A71BED" w:rsidRDefault="00A71BED" w:rsidP="00A71BED">
      <w:pPr>
        <w:pStyle w:val="Prrafodelista"/>
        <w:numPr>
          <w:ilvl w:val="0"/>
          <w:numId w:val="2"/>
        </w:numPr>
        <w:jc w:val="both"/>
        <w:rPr>
          <w:rFonts w:ascii="Times New Roman" w:hAnsi="Times New Roman" w:cs="Times New Roman"/>
        </w:rPr>
      </w:pPr>
      <w:r w:rsidRPr="00A71BED">
        <w:rPr>
          <w:rFonts w:ascii="Times New Roman" w:hAnsi="Times New Roman" w:cs="Times New Roman"/>
        </w:rPr>
        <w:t>Cuando el indicador tiene un desempeño menor al 80 por ciento, la meta alcanzada es mucho menor a la meta planeada</w:t>
      </w:r>
    </w:p>
    <w:p w14:paraId="5CBF8B21" w14:textId="77777777" w:rsidR="00A71BED" w:rsidRPr="00A71BED" w:rsidRDefault="00A71BED" w:rsidP="00A71BED">
      <w:pPr>
        <w:pStyle w:val="Prrafodelista"/>
        <w:numPr>
          <w:ilvl w:val="0"/>
          <w:numId w:val="2"/>
        </w:numPr>
        <w:jc w:val="both"/>
        <w:rPr>
          <w:rFonts w:ascii="Times New Roman" w:hAnsi="Times New Roman" w:cs="Times New Roman"/>
        </w:rPr>
      </w:pPr>
      <w:r w:rsidRPr="00A71BED">
        <w:rPr>
          <w:rFonts w:ascii="Times New Roman" w:hAnsi="Times New Roman" w:cs="Times New Roman"/>
        </w:rPr>
        <w:t>Si el indicador es superior al 115 por ciento, denota que la meta alcanzada es mucho mayor que la planeada.</w:t>
      </w:r>
    </w:p>
    <w:p w14:paraId="3B496055" w14:textId="77777777" w:rsidR="00A71BED" w:rsidRPr="00A71BED" w:rsidRDefault="00A71BED" w:rsidP="00A71BED">
      <w:pPr>
        <w:jc w:val="both"/>
        <w:rPr>
          <w:rFonts w:ascii="Times New Roman" w:hAnsi="Times New Roman" w:cs="Times New Roman"/>
        </w:rPr>
      </w:pPr>
    </w:p>
    <w:p w14:paraId="09017393" w14:textId="77777777" w:rsidR="00A71BED" w:rsidRPr="00A71BED" w:rsidRDefault="00A71BED" w:rsidP="00A71BED">
      <w:pPr>
        <w:jc w:val="both"/>
        <w:rPr>
          <w:rFonts w:ascii="Times New Roman" w:hAnsi="Times New Roman" w:cs="Times New Roman"/>
          <w:noProof/>
          <w:color w:val="FF0000"/>
          <w:lang w:val="es-MX" w:eastAsia="es-MX"/>
        </w:rPr>
      </w:pPr>
      <w:r w:rsidRPr="00A71BED">
        <w:rPr>
          <w:rFonts w:ascii="Times New Roman" w:hAnsi="Times New Roman" w:cs="Times New Roman"/>
        </w:rPr>
        <w:t>En los dos últimos casos, se sugiere mejorar la planificación de las metas, a efecto de contar con un buen desempeño del indicador.</w:t>
      </w:r>
    </w:p>
    <w:p w14:paraId="17BB87F3" w14:textId="77777777" w:rsidR="00A71BED" w:rsidRPr="00A71BED" w:rsidRDefault="00A71BED" w:rsidP="00A71BED">
      <w:pPr>
        <w:jc w:val="both"/>
        <w:rPr>
          <w:rFonts w:ascii="Times New Roman" w:hAnsi="Times New Roman" w:cs="Times New Roman"/>
          <w:color w:val="FF0000"/>
        </w:rPr>
      </w:pPr>
    </w:p>
    <w:p w14:paraId="105B3BF0" w14:textId="5F754531" w:rsidR="00A71BED" w:rsidRPr="00A71BED" w:rsidRDefault="00A71BED" w:rsidP="00A71BED">
      <w:pPr>
        <w:jc w:val="both"/>
        <w:rPr>
          <w:rFonts w:ascii="Times New Roman" w:hAnsi="Times New Roman" w:cs="Times New Roman"/>
        </w:rPr>
      </w:pPr>
      <w:r w:rsidRPr="00A71BED">
        <w:rPr>
          <w:rFonts w:ascii="Times New Roman" w:hAnsi="Times New Roman" w:cs="Times New Roman"/>
        </w:rPr>
        <w:t>Como aspectos r</w:t>
      </w:r>
      <w:r w:rsidR="005868C4">
        <w:rPr>
          <w:rFonts w:ascii="Times New Roman" w:hAnsi="Times New Roman" w:cs="Times New Roman"/>
        </w:rPr>
        <w:t>elevantes del balance del 4° trimestre de 2019</w:t>
      </w:r>
      <w:r w:rsidR="000F5462">
        <w:rPr>
          <w:rFonts w:ascii="Times New Roman" w:hAnsi="Times New Roman" w:cs="Times New Roman"/>
        </w:rPr>
        <w:t>,</w:t>
      </w:r>
      <w:r w:rsidRPr="00A71BED">
        <w:rPr>
          <w:rFonts w:ascii="Times New Roman" w:hAnsi="Times New Roman" w:cs="Times New Roman"/>
        </w:rPr>
        <w:t xml:space="preserve"> en los cuadros 1 y 2, se exponen los siguientes hallazgos:</w:t>
      </w:r>
    </w:p>
    <w:p w14:paraId="078914DD" w14:textId="7326914A" w:rsidR="005A6268" w:rsidRDefault="005A6268" w:rsidP="004C64FF">
      <w:pPr>
        <w:rPr>
          <w:rFonts w:ascii="Arial" w:hAnsi="Arial"/>
        </w:rPr>
      </w:pPr>
    </w:p>
    <w:p w14:paraId="680BF1E3" w14:textId="77777777" w:rsidR="00DE7E26" w:rsidRDefault="00DE7E26" w:rsidP="002A1FF4">
      <w:pPr>
        <w:jc w:val="both"/>
      </w:pPr>
    </w:p>
    <w:p w14:paraId="026D4FDD" w14:textId="39453792" w:rsidR="00DE7E26" w:rsidRDefault="004E014F" w:rsidP="002A1FF4">
      <w:pPr>
        <w:jc w:val="both"/>
      </w:pPr>
      <w:r>
        <w:rPr>
          <w:noProof/>
          <w:lang w:val="es-ES"/>
        </w:rPr>
        <w:lastRenderedPageBreak/>
        <w:drawing>
          <wp:anchor distT="0" distB="0" distL="114300" distR="114300" simplePos="0" relativeHeight="251659264" behindDoc="0" locked="0" layoutInCell="1" allowOverlap="1" wp14:anchorId="1DAAD3AE" wp14:editId="071F54A9">
            <wp:simplePos x="0" y="0"/>
            <wp:positionH relativeFrom="column">
              <wp:posOffset>-786130</wp:posOffset>
            </wp:positionH>
            <wp:positionV relativeFrom="paragraph">
              <wp:posOffset>3360420</wp:posOffset>
            </wp:positionV>
            <wp:extent cx="7526655" cy="396557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432" t="28258" r="9114" b="16774"/>
                    <a:stretch/>
                  </pic:blipFill>
                  <pic:spPr bwMode="auto">
                    <a:xfrm>
                      <a:off x="0" y="0"/>
                      <a:ext cx="7526655" cy="3965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ES"/>
        </w:rPr>
        <w:drawing>
          <wp:anchor distT="0" distB="0" distL="114300" distR="114300" simplePos="0" relativeHeight="251658240" behindDoc="0" locked="0" layoutInCell="1" allowOverlap="1" wp14:anchorId="342D820E" wp14:editId="077C666A">
            <wp:simplePos x="0" y="0"/>
            <wp:positionH relativeFrom="column">
              <wp:posOffset>-720090</wp:posOffset>
            </wp:positionH>
            <wp:positionV relativeFrom="paragraph">
              <wp:posOffset>0</wp:posOffset>
            </wp:positionV>
            <wp:extent cx="7459980" cy="3305175"/>
            <wp:effectExtent l="0" t="0" r="762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7742" t="25355" r="9424" b="28774"/>
                    <a:stretch/>
                  </pic:blipFill>
                  <pic:spPr bwMode="auto">
                    <a:xfrm>
                      <a:off x="0" y="0"/>
                      <a:ext cx="7459980" cy="330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B0C966" w14:textId="77777777" w:rsidR="00AF20C7" w:rsidRDefault="00AF20C7" w:rsidP="002A1FF4">
      <w:pPr>
        <w:jc w:val="both"/>
      </w:pPr>
    </w:p>
    <w:p w14:paraId="476A731C" w14:textId="77777777" w:rsidR="00AF20C7" w:rsidRDefault="00AF20C7" w:rsidP="002A1FF4">
      <w:pPr>
        <w:jc w:val="both"/>
      </w:pPr>
    </w:p>
    <w:p w14:paraId="36E41674" w14:textId="10C6B1ED" w:rsidR="00DE7E26" w:rsidRDefault="00AB7CF8" w:rsidP="005868C4">
      <w:pPr>
        <w:jc w:val="both"/>
      </w:pPr>
      <w:r>
        <w:lastRenderedPageBreak/>
        <w:t xml:space="preserve">Con la </w:t>
      </w:r>
      <w:r w:rsidR="006E3B18">
        <w:t>información de</w:t>
      </w:r>
      <w:r w:rsidR="00653D2C">
        <w:t xml:space="preserve"> los cuadros, puede apreciarse lo siguiente:</w:t>
      </w:r>
    </w:p>
    <w:p w14:paraId="60A872BA" w14:textId="0657095E" w:rsidR="002A1FF4" w:rsidRDefault="002A1FF4" w:rsidP="005868C4">
      <w:pPr>
        <w:jc w:val="both"/>
      </w:pPr>
    </w:p>
    <w:p w14:paraId="394642F4" w14:textId="3F189CBB" w:rsidR="002A1FF4" w:rsidRPr="00260434" w:rsidRDefault="00DE7E26" w:rsidP="005868C4">
      <w:pPr>
        <w:pStyle w:val="Prrafodelista"/>
        <w:numPr>
          <w:ilvl w:val="0"/>
          <w:numId w:val="3"/>
        </w:numPr>
        <w:jc w:val="both"/>
        <w:rPr>
          <w:rFonts w:ascii="Times New Roman" w:hAnsi="Times New Roman" w:cs="Times New Roman"/>
        </w:rPr>
      </w:pPr>
      <w:r w:rsidRPr="00260434">
        <w:rPr>
          <w:rFonts w:ascii="Times New Roman" w:hAnsi="Times New Roman" w:cs="Times New Roman"/>
        </w:rPr>
        <w:t>De lo</w:t>
      </w:r>
      <w:r w:rsidR="003170C5" w:rsidRPr="00260434">
        <w:rPr>
          <w:rFonts w:ascii="Times New Roman" w:hAnsi="Times New Roman" w:cs="Times New Roman"/>
        </w:rPr>
        <w:t>s 94 indicadores registrados, 9</w:t>
      </w:r>
      <w:r w:rsidR="002A1FF4" w:rsidRPr="00260434">
        <w:rPr>
          <w:rFonts w:ascii="Times New Roman" w:hAnsi="Times New Roman" w:cs="Times New Roman"/>
        </w:rPr>
        <w:t xml:space="preserve"> muestra</w:t>
      </w:r>
      <w:r w:rsidR="003170C5" w:rsidRPr="00260434">
        <w:rPr>
          <w:rFonts w:ascii="Times New Roman" w:hAnsi="Times New Roman" w:cs="Times New Roman"/>
        </w:rPr>
        <w:t>n un desempeño menor al 80%; 78</w:t>
      </w:r>
      <w:r w:rsidR="002A1FF4" w:rsidRPr="00260434">
        <w:rPr>
          <w:rFonts w:ascii="Times New Roman" w:hAnsi="Times New Roman" w:cs="Times New Roman"/>
        </w:rPr>
        <w:t xml:space="preserve"> tienen un</w:t>
      </w:r>
      <w:r w:rsidRPr="00260434">
        <w:rPr>
          <w:rFonts w:ascii="Times New Roman" w:hAnsi="Times New Roman" w:cs="Times New Roman"/>
        </w:rPr>
        <w:t xml:space="preserve"> desempeño entre 80% y 115%; y 7</w:t>
      </w:r>
      <w:r w:rsidR="00247BEB" w:rsidRPr="00260434">
        <w:rPr>
          <w:rFonts w:ascii="Times New Roman" w:hAnsi="Times New Roman" w:cs="Times New Roman"/>
        </w:rPr>
        <w:t xml:space="preserve"> refleja</w:t>
      </w:r>
      <w:r w:rsidRPr="00260434">
        <w:rPr>
          <w:rFonts w:ascii="Times New Roman" w:hAnsi="Times New Roman" w:cs="Times New Roman"/>
        </w:rPr>
        <w:t>n</w:t>
      </w:r>
      <w:r w:rsidR="002A1FF4" w:rsidRPr="00260434">
        <w:rPr>
          <w:rFonts w:ascii="Times New Roman" w:hAnsi="Times New Roman" w:cs="Times New Roman"/>
        </w:rPr>
        <w:t xml:space="preserve"> un desempeño por arriba del 115%. En términos porce</w:t>
      </w:r>
      <w:r w:rsidRPr="00260434">
        <w:rPr>
          <w:rFonts w:ascii="Times New Roman" w:hAnsi="Times New Roman" w:cs="Times New Roman"/>
        </w:rPr>
        <w:t>n</w:t>
      </w:r>
      <w:r w:rsidR="003170C5" w:rsidRPr="00260434">
        <w:rPr>
          <w:rFonts w:ascii="Times New Roman" w:hAnsi="Times New Roman" w:cs="Times New Roman"/>
        </w:rPr>
        <w:t>tuales, la distribución es 9.57</w:t>
      </w:r>
      <w:r w:rsidR="002A1FF4" w:rsidRPr="00260434">
        <w:rPr>
          <w:rFonts w:ascii="Times New Roman" w:hAnsi="Times New Roman" w:cs="Times New Roman"/>
        </w:rPr>
        <w:t xml:space="preserve">%, </w:t>
      </w:r>
      <w:r w:rsidR="003170C5" w:rsidRPr="00260434">
        <w:rPr>
          <w:rFonts w:ascii="Times New Roman" w:hAnsi="Times New Roman" w:cs="Times New Roman"/>
        </w:rPr>
        <w:t>82.98</w:t>
      </w:r>
      <w:r w:rsidR="002A1FF4" w:rsidRPr="00260434">
        <w:rPr>
          <w:rFonts w:ascii="Times New Roman" w:hAnsi="Times New Roman" w:cs="Times New Roman"/>
        </w:rPr>
        <w:t xml:space="preserve">% y </w:t>
      </w:r>
      <w:r w:rsidR="003170C5" w:rsidRPr="00260434">
        <w:rPr>
          <w:rFonts w:ascii="Times New Roman" w:hAnsi="Times New Roman" w:cs="Times New Roman"/>
        </w:rPr>
        <w:t>7.45</w:t>
      </w:r>
      <w:r w:rsidR="002A1FF4" w:rsidRPr="00260434">
        <w:rPr>
          <w:rFonts w:ascii="Times New Roman" w:hAnsi="Times New Roman" w:cs="Times New Roman"/>
        </w:rPr>
        <w:t>%</w:t>
      </w:r>
      <w:r w:rsidR="00D43EB6" w:rsidRPr="00260434">
        <w:rPr>
          <w:rFonts w:ascii="Times New Roman" w:hAnsi="Times New Roman" w:cs="Times New Roman"/>
        </w:rPr>
        <w:t>,</w:t>
      </w:r>
      <w:r w:rsidR="002C42D6" w:rsidRPr="00260434">
        <w:rPr>
          <w:rFonts w:ascii="Times New Roman" w:hAnsi="Times New Roman" w:cs="Times New Roman"/>
        </w:rPr>
        <w:t xml:space="preserve"> respectivamente. Estos</w:t>
      </w:r>
      <w:r w:rsidR="002A1FF4" w:rsidRPr="00260434">
        <w:rPr>
          <w:rFonts w:ascii="Times New Roman" w:hAnsi="Times New Roman" w:cs="Times New Roman"/>
        </w:rPr>
        <w:t xml:space="preserve"> dato</w:t>
      </w:r>
      <w:r w:rsidR="002C42D6" w:rsidRPr="00260434">
        <w:rPr>
          <w:rFonts w:ascii="Times New Roman" w:hAnsi="Times New Roman" w:cs="Times New Roman"/>
        </w:rPr>
        <w:t>s</w:t>
      </w:r>
      <w:r w:rsidR="002A1FF4" w:rsidRPr="00260434">
        <w:rPr>
          <w:rFonts w:ascii="Times New Roman" w:hAnsi="Times New Roman" w:cs="Times New Roman"/>
        </w:rPr>
        <w:t>, expresa</w:t>
      </w:r>
      <w:r w:rsidR="002C42D6" w:rsidRPr="00260434">
        <w:rPr>
          <w:rFonts w:ascii="Times New Roman" w:hAnsi="Times New Roman" w:cs="Times New Roman"/>
        </w:rPr>
        <w:t>n</w:t>
      </w:r>
      <w:r w:rsidR="002A1FF4" w:rsidRPr="00260434">
        <w:rPr>
          <w:rFonts w:ascii="Times New Roman" w:hAnsi="Times New Roman" w:cs="Times New Roman"/>
        </w:rPr>
        <w:t xml:space="preserve"> que la gran mayoría de los indicadores de los programas presupuestales de CONACYT, tuvieron un comportami</w:t>
      </w:r>
      <w:r w:rsidR="004A2B45" w:rsidRPr="00260434">
        <w:rPr>
          <w:rFonts w:ascii="Times New Roman" w:hAnsi="Times New Roman" w:cs="Times New Roman"/>
        </w:rPr>
        <w:t>ento adec</w:t>
      </w:r>
      <w:r w:rsidRPr="00260434">
        <w:rPr>
          <w:rFonts w:ascii="Times New Roman" w:hAnsi="Times New Roman" w:cs="Times New Roman"/>
        </w:rPr>
        <w:t>uado, durante el cuarto</w:t>
      </w:r>
      <w:r w:rsidR="004937AC">
        <w:rPr>
          <w:rFonts w:ascii="Times New Roman" w:hAnsi="Times New Roman" w:cs="Times New Roman"/>
        </w:rPr>
        <w:t xml:space="preserve"> trimestre de 2019</w:t>
      </w:r>
      <w:r w:rsidR="002A1FF4" w:rsidRPr="00260434">
        <w:rPr>
          <w:rFonts w:ascii="Times New Roman" w:hAnsi="Times New Roman" w:cs="Times New Roman"/>
        </w:rPr>
        <w:t>.</w:t>
      </w:r>
    </w:p>
    <w:p w14:paraId="57836E5E" w14:textId="77777777" w:rsidR="002A1FF4" w:rsidRPr="00260434" w:rsidRDefault="002A1FF4" w:rsidP="005868C4">
      <w:pPr>
        <w:pStyle w:val="Prrafodelista"/>
        <w:jc w:val="both"/>
        <w:rPr>
          <w:rFonts w:ascii="Times New Roman" w:hAnsi="Times New Roman" w:cs="Times New Roman"/>
        </w:rPr>
      </w:pPr>
    </w:p>
    <w:p w14:paraId="00B75C7E" w14:textId="7CA4D082" w:rsidR="004A2B45" w:rsidRPr="00260434" w:rsidRDefault="004A2B45" w:rsidP="005868C4">
      <w:pPr>
        <w:pStyle w:val="Prrafodelista"/>
        <w:numPr>
          <w:ilvl w:val="0"/>
          <w:numId w:val="3"/>
        </w:numPr>
        <w:jc w:val="both"/>
        <w:rPr>
          <w:rFonts w:ascii="Times New Roman" w:hAnsi="Times New Roman" w:cs="Times New Roman"/>
        </w:rPr>
      </w:pPr>
      <w:r w:rsidRPr="00260434">
        <w:rPr>
          <w:rFonts w:ascii="Times New Roman" w:hAnsi="Times New Roman" w:cs="Times New Roman"/>
        </w:rPr>
        <w:t>Entre las</w:t>
      </w:r>
      <w:r w:rsidR="002A1FF4" w:rsidRPr="00260434">
        <w:rPr>
          <w:rFonts w:ascii="Times New Roman" w:hAnsi="Times New Roman" w:cs="Times New Roman"/>
        </w:rPr>
        <w:t xml:space="preserve"> </w:t>
      </w:r>
      <w:r w:rsidRPr="00260434">
        <w:rPr>
          <w:rFonts w:ascii="Times New Roman" w:hAnsi="Times New Roman" w:cs="Times New Roman"/>
        </w:rPr>
        <w:t>variaciones más significativas y las causas de est</w:t>
      </w:r>
      <w:r w:rsidR="004C44FD">
        <w:rPr>
          <w:rFonts w:ascii="Times New Roman" w:hAnsi="Times New Roman" w:cs="Times New Roman"/>
        </w:rPr>
        <w:t>as, podemos señalar que</w:t>
      </w:r>
      <w:r w:rsidRPr="00260434">
        <w:rPr>
          <w:rFonts w:ascii="Times New Roman" w:hAnsi="Times New Roman" w:cs="Times New Roman"/>
        </w:rPr>
        <w:t>:</w:t>
      </w:r>
    </w:p>
    <w:p w14:paraId="5D5AF38A" w14:textId="77777777" w:rsidR="003D6C07" w:rsidRPr="00260434" w:rsidRDefault="003D6C07" w:rsidP="005868C4">
      <w:pPr>
        <w:pStyle w:val="Prrafodelista"/>
        <w:jc w:val="both"/>
        <w:rPr>
          <w:rFonts w:ascii="Times New Roman" w:hAnsi="Times New Roman" w:cs="Times New Roman"/>
        </w:rPr>
      </w:pPr>
    </w:p>
    <w:p w14:paraId="4B690728" w14:textId="7E408809" w:rsidR="004A2B45" w:rsidRDefault="004C44FD" w:rsidP="005868C4">
      <w:pPr>
        <w:pStyle w:val="Prrafodelista"/>
        <w:jc w:val="both"/>
        <w:rPr>
          <w:rFonts w:ascii="Times New Roman" w:hAnsi="Times New Roman" w:cs="Times New Roman"/>
        </w:rPr>
      </w:pPr>
      <w:r>
        <w:rPr>
          <w:rFonts w:ascii="Times New Roman" w:hAnsi="Times New Roman" w:cs="Times New Roman"/>
        </w:rPr>
        <w:t>En el Programa E003 “</w:t>
      </w:r>
      <w:r w:rsidRPr="004C44FD">
        <w:rPr>
          <w:rFonts w:ascii="Times New Roman" w:hAnsi="Times New Roman" w:cs="Times New Roman"/>
        </w:rPr>
        <w:t>Investigación científica, desarrollo e innovación</w:t>
      </w:r>
      <w:r>
        <w:rPr>
          <w:rFonts w:ascii="Times New Roman" w:hAnsi="Times New Roman" w:cs="Times New Roman"/>
        </w:rPr>
        <w:t xml:space="preserve">”, 5 de sus indicadores tuvieron un cumplimiento mayor a sus metas proyectadas, debido al incremento en las actividades de difusión y divulgación en los CPI, así como al aumento en los proyectos desarrollados por los Centros y en la matrícula de los estudiantes inscritos en los mismos. </w:t>
      </w:r>
    </w:p>
    <w:p w14:paraId="0CAFBE07" w14:textId="4D19D6A7" w:rsidR="004C44FD" w:rsidRDefault="004C44FD" w:rsidP="005868C4">
      <w:pPr>
        <w:pStyle w:val="Prrafodelista"/>
        <w:jc w:val="both"/>
        <w:rPr>
          <w:rFonts w:ascii="Times New Roman" w:hAnsi="Times New Roman" w:cs="Times New Roman"/>
        </w:rPr>
      </w:pPr>
    </w:p>
    <w:p w14:paraId="26A69743" w14:textId="2019971E" w:rsidR="004C44FD" w:rsidRDefault="004C44FD" w:rsidP="005868C4">
      <w:pPr>
        <w:pStyle w:val="Prrafodelista"/>
        <w:jc w:val="both"/>
        <w:rPr>
          <w:rFonts w:ascii="Times New Roman" w:hAnsi="Times New Roman" w:cs="Times New Roman"/>
        </w:rPr>
      </w:pPr>
      <w:r>
        <w:rPr>
          <w:rFonts w:ascii="Times New Roman" w:hAnsi="Times New Roman" w:cs="Times New Roman"/>
        </w:rPr>
        <w:t>En lo que atañe al Programa S192 “</w:t>
      </w:r>
      <w:r w:rsidRPr="004C44FD">
        <w:rPr>
          <w:rFonts w:ascii="Times New Roman" w:hAnsi="Times New Roman" w:cs="Times New Roman"/>
        </w:rPr>
        <w:t>Fortalecimiento sectorial de las capacidades científicas, tecnológicas y de innovación</w:t>
      </w:r>
      <w:r>
        <w:rPr>
          <w:rFonts w:ascii="Times New Roman" w:hAnsi="Times New Roman" w:cs="Times New Roman"/>
        </w:rPr>
        <w:t>”</w:t>
      </w:r>
      <w:r w:rsidR="00A833B3">
        <w:rPr>
          <w:rFonts w:ascii="Times New Roman" w:hAnsi="Times New Roman" w:cs="Times New Roman"/>
        </w:rPr>
        <w:t>, 3</w:t>
      </w:r>
      <w:r>
        <w:rPr>
          <w:rFonts w:ascii="Times New Roman" w:hAnsi="Times New Roman" w:cs="Times New Roman"/>
        </w:rPr>
        <w:t xml:space="preserve"> de sus indicadores mostraron un comportamiento por debajo de la meta, dado que </w:t>
      </w:r>
      <w:r w:rsidR="00A833B3">
        <w:rPr>
          <w:rFonts w:ascii="Times New Roman" w:hAnsi="Times New Roman" w:cs="Times New Roman"/>
        </w:rPr>
        <w:t>varios de los Fondos Sectoriales que componen al Programa no publicaron convocatorias en 2019.</w:t>
      </w:r>
    </w:p>
    <w:p w14:paraId="440AA055" w14:textId="66B5A555" w:rsidR="00A833B3" w:rsidRDefault="00A833B3" w:rsidP="005868C4">
      <w:pPr>
        <w:pStyle w:val="Prrafodelista"/>
        <w:jc w:val="both"/>
        <w:rPr>
          <w:rFonts w:ascii="Times New Roman" w:hAnsi="Times New Roman" w:cs="Times New Roman"/>
        </w:rPr>
      </w:pPr>
    </w:p>
    <w:p w14:paraId="6194A084" w14:textId="35F87A30" w:rsidR="00A833B3" w:rsidRPr="004C44FD" w:rsidRDefault="00A833B3" w:rsidP="005868C4">
      <w:pPr>
        <w:pStyle w:val="Prrafodelista"/>
        <w:jc w:val="both"/>
        <w:rPr>
          <w:rFonts w:ascii="Times New Roman" w:hAnsi="Times New Roman" w:cs="Times New Roman"/>
        </w:rPr>
      </w:pPr>
      <w:r>
        <w:rPr>
          <w:rFonts w:ascii="Times New Roman" w:hAnsi="Times New Roman" w:cs="Times New Roman"/>
        </w:rPr>
        <w:t>En el caso del Programa S278 “</w:t>
      </w:r>
      <w:r w:rsidRPr="00A833B3">
        <w:rPr>
          <w:rFonts w:ascii="Times New Roman" w:hAnsi="Times New Roman" w:cs="Times New Roman"/>
        </w:rPr>
        <w:t>Fomento Regional de las Capacidades Científicas, Tecnológicas y de Innovación</w:t>
      </w:r>
      <w:r>
        <w:rPr>
          <w:rFonts w:ascii="Times New Roman" w:hAnsi="Times New Roman" w:cs="Times New Roman"/>
        </w:rPr>
        <w:t>, 2 de sus indicadores no cumpl</w:t>
      </w:r>
      <w:r w:rsidR="004937AC">
        <w:rPr>
          <w:rFonts w:ascii="Times New Roman" w:hAnsi="Times New Roman" w:cs="Times New Roman"/>
        </w:rPr>
        <w:t>ieron la meta proyectada, puesto que no</w:t>
      </w:r>
      <w:r w:rsidR="00D11947" w:rsidRPr="00D11947">
        <w:rPr>
          <w:rFonts w:ascii="Times New Roman" w:hAnsi="Times New Roman" w:cs="Times New Roman"/>
        </w:rPr>
        <w:t xml:space="preserve"> se formalizaron 14 proyectos de la meta planteada, ya que estos fueron aprobados en el mes de diciembre 2019.</w:t>
      </w:r>
      <w:r w:rsidR="00D11947">
        <w:rPr>
          <w:rFonts w:ascii="Times New Roman" w:hAnsi="Times New Roman" w:cs="Times New Roman"/>
        </w:rPr>
        <w:t xml:space="preserve"> </w:t>
      </w:r>
    </w:p>
    <w:p w14:paraId="49346D10" w14:textId="30B0339D" w:rsidR="00AF20C7" w:rsidRPr="00BB011E" w:rsidRDefault="00AF20C7" w:rsidP="005868C4">
      <w:pPr>
        <w:jc w:val="both"/>
        <w:rPr>
          <w:rFonts w:ascii="Times New Roman" w:hAnsi="Times New Roman" w:cs="Times New Roman"/>
        </w:rPr>
      </w:pPr>
    </w:p>
    <w:p w14:paraId="333C60E5" w14:textId="02D98228" w:rsidR="00AF20C7" w:rsidRDefault="00AF20C7" w:rsidP="005868C4">
      <w:pPr>
        <w:pStyle w:val="Prrafodelista"/>
        <w:jc w:val="both"/>
      </w:pPr>
      <w:r>
        <w:rPr>
          <w:rFonts w:ascii="Times New Roman" w:hAnsi="Times New Roman" w:cs="Times New Roman"/>
        </w:rPr>
        <w:t>Finalmente, cabe destacar que las metas de los indicadores asociados a la operación del Programa U003</w:t>
      </w:r>
      <w:r w:rsidR="004937AC">
        <w:rPr>
          <w:rFonts w:ascii="Times New Roman" w:hAnsi="Times New Roman" w:cs="Times New Roman"/>
        </w:rPr>
        <w:t xml:space="preserve"> “</w:t>
      </w:r>
      <w:r w:rsidR="004937AC" w:rsidRPr="00AF20C7">
        <w:rPr>
          <w:rFonts w:ascii="Times New Roman" w:hAnsi="Times New Roman" w:cs="Times New Roman"/>
        </w:rPr>
        <w:t>Innovación tecnológica para incrementar la productividad de las empresas</w:t>
      </w:r>
      <w:r w:rsidR="004937AC">
        <w:rPr>
          <w:rFonts w:ascii="Times New Roman" w:hAnsi="Times New Roman" w:cs="Times New Roman"/>
        </w:rPr>
        <w:t>”</w:t>
      </w:r>
      <w:r>
        <w:rPr>
          <w:rFonts w:ascii="Times New Roman" w:hAnsi="Times New Roman" w:cs="Times New Roman"/>
        </w:rPr>
        <w:t xml:space="preserve">, se colocaron en 0, toda vez que el programa no tuvo convocatorias en 2019 y no forma parte de la Estructura Programática del CONACYT para 2020. </w:t>
      </w:r>
      <w:r w:rsidR="00AE3F64">
        <w:rPr>
          <w:rFonts w:ascii="Times New Roman" w:hAnsi="Times New Roman" w:cs="Times New Roman"/>
        </w:rPr>
        <w:t xml:space="preserve">Dicho programa será cancelado, lo cual se formalizará a través de su máximo órgano, el </w:t>
      </w:r>
      <w:r w:rsidR="00AE3F64" w:rsidRPr="00AE3F64">
        <w:rPr>
          <w:rFonts w:ascii="Times New Roman" w:hAnsi="Times New Roman" w:cs="Times New Roman"/>
        </w:rPr>
        <w:t>Comité Técnico Intersecretarial de Innovación del Programa de Estímulos a la Innovación</w:t>
      </w:r>
    </w:p>
    <w:p w14:paraId="3B1ECE9A" w14:textId="26B80916" w:rsidR="002A1FF4" w:rsidRDefault="002A1FF4" w:rsidP="005868C4">
      <w:pPr>
        <w:jc w:val="both"/>
        <w:rPr>
          <w:rFonts w:ascii="Arial" w:hAnsi="Arial"/>
        </w:rPr>
      </w:pPr>
    </w:p>
    <w:p w14:paraId="7D414969" w14:textId="4CAA38BB" w:rsidR="009573CD" w:rsidRDefault="009573CD" w:rsidP="005868C4">
      <w:pPr>
        <w:jc w:val="both"/>
        <w:rPr>
          <w:rFonts w:ascii="Arial" w:hAnsi="Arial"/>
        </w:rPr>
      </w:pPr>
    </w:p>
    <w:p w14:paraId="6D370355" w14:textId="77777777" w:rsidR="00260434" w:rsidRDefault="00260434" w:rsidP="005868C4">
      <w:pPr>
        <w:jc w:val="both"/>
        <w:rPr>
          <w:rFonts w:ascii="Arial" w:hAnsi="Arial"/>
        </w:rPr>
      </w:pPr>
    </w:p>
    <w:p w14:paraId="5CD7DE4B" w14:textId="77777777" w:rsidR="00260434" w:rsidRDefault="00260434" w:rsidP="005868C4">
      <w:pPr>
        <w:jc w:val="both"/>
        <w:rPr>
          <w:rFonts w:ascii="Arial" w:hAnsi="Arial"/>
        </w:rPr>
      </w:pPr>
    </w:p>
    <w:p w14:paraId="6DA07B06" w14:textId="77777777" w:rsidR="00260434" w:rsidRDefault="00260434" w:rsidP="005868C4">
      <w:pPr>
        <w:jc w:val="both"/>
        <w:rPr>
          <w:rFonts w:ascii="Arial" w:hAnsi="Arial"/>
        </w:rPr>
      </w:pPr>
    </w:p>
    <w:p w14:paraId="4E334F5A" w14:textId="77777777" w:rsidR="00260434" w:rsidRDefault="00260434" w:rsidP="009573CD">
      <w:pPr>
        <w:jc w:val="center"/>
        <w:rPr>
          <w:rFonts w:ascii="Arial" w:hAnsi="Arial"/>
        </w:rPr>
      </w:pPr>
    </w:p>
    <w:p w14:paraId="184019D8" w14:textId="72B8CCD3" w:rsidR="00260434" w:rsidRDefault="00260434" w:rsidP="009573CD">
      <w:pPr>
        <w:jc w:val="center"/>
        <w:rPr>
          <w:rFonts w:ascii="Arial" w:hAnsi="Arial"/>
        </w:rPr>
      </w:pPr>
    </w:p>
    <w:p w14:paraId="36969CBC" w14:textId="4B07A94B" w:rsidR="00BB011E" w:rsidRDefault="00BB011E" w:rsidP="009573CD">
      <w:pPr>
        <w:jc w:val="center"/>
        <w:rPr>
          <w:rFonts w:ascii="Arial" w:hAnsi="Arial"/>
        </w:rPr>
      </w:pPr>
    </w:p>
    <w:p w14:paraId="7FF689A5" w14:textId="300B7242" w:rsidR="00BB011E" w:rsidRDefault="00BB011E" w:rsidP="009573CD">
      <w:pPr>
        <w:jc w:val="center"/>
        <w:rPr>
          <w:rFonts w:ascii="Arial" w:hAnsi="Arial"/>
        </w:rPr>
      </w:pPr>
    </w:p>
    <w:p w14:paraId="422B166F" w14:textId="78D9D499" w:rsidR="00BB011E" w:rsidRDefault="00BB011E" w:rsidP="009573CD">
      <w:pPr>
        <w:jc w:val="center"/>
        <w:rPr>
          <w:rFonts w:ascii="Arial" w:hAnsi="Arial"/>
        </w:rPr>
      </w:pPr>
    </w:p>
    <w:p w14:paraId="57BDEA5E" w14:textId="77777777" w:rsidR="004937AC" w:rsidRDefault="004937AC" w:rsidP="009573CD">
      <w:pPr>
        <w:jc w:val="center"/>
        <w:rPr>
          <w:rFonts w:ascii="Arial" w:hAnsi="Arial"/>
        </w:rPr>
      </w:pPr>
    </w:p>
    <w:p w14:paraId="003B2658" w14:textId="77777777" w:rsidR="00BB011E" w:rsidRDefault="00BB011E" w:rsidP="009573CD">
      <w:pPr>
        <w:jc w:val="center"/>
        <w:rPr>
          <w:rFonts w:ascii="Arial" w:hAnsi="Arial"/>
        </w:rPr>
      </w:pPr>
    </w:p>
    <w:p w14:paraId="32401CA9" w14:textId="77777777" w:rsidR="00260434" w:rsidRDefault="00260434" w:rsidP="009573CD">
      <w:pPr>
        <w:jc w:val="center"/>
        <w:rPr>
          <w:rFonts w:ascii="Arial" w:hAnsi="Arial"/>
        </w:rPr>
      </w:pPr>
    </w:p>
    <w:p w14:paraId="394F33E1" w14:textId="62D2364C" w:rsidR="009573CD" w:rsidRPr="00260434" w:rsidRDefault="009573CD" w:rsidP="009573CD">
      <w:pPr>
        <w:jc w:val="center"/>
        <w:rPr>
          <w:rFonts w:ascii="Times New Roman" w:hAnsi="Times New Roman" w:cs="Times New Roman"/>
          <w:b/>
          <w:sz w:val="28"/>
          <w:szCs w:val="28"/>
        </w:rPr>
      </w:pPr>
      <w:r w:rsidRPr="00260434">
        <w:rPr>
          <w:rFonts w:ascii="Times New Roman" w:hAnsi="Times New Roman" w:cs="Times New Roman"/>
          <w:b/>
          <w:sz w:val="28"/>
          <w:szCs w:val="28"/>
        </w:rPr>
        <w:lastRenderedPageBreak/>
        <w:t>Comparativo</w:t>
      </w:r>
      <w:r w:rsidR="00D30ED6">
        <w:rPr>
          <w:rFonts w:ascii="Times New Roman" w:hAnsi="Times New Roman" w:cs="Times New Roman"/>
          <w:b/>
          <w:sz w:val="28"/>
          <w:szCs w:val="28"/>
        </w:rPr>
        <w:t xml:space="preserve"> del</w:t>
      </w:r>
      <w:r w:rsidRPr="00260434">
        <w:rPr>
          <w:rFonts w:ascii="Times New Roman" w:hAnsi="Times New Roman" w:cs="Times New Roman"/>
          <w:b/>
          <w:sz w:val="28"/>
          <w:szCs w:val="28"/>
        </w:rPr>
        <w:t xml:space="preserve"> desempeño de programas de CONACYT entre 2018 y 2019</w:t>
      </w:r>
    </w:p>
    <w:p w14:paraId="7E58BCF8" w14:textId="2D566943" w:rsidR="009573CD" w:rsidRDefault="009573CD" w:rsidP="009573CD">
      <w:pPr>
        <w:jc w:val="center"/>
        <w:rPr>
          <w:rFonts w:ascii="Arial" w:hAnsi="Arial"/>
        </w:rPr>
      </w:pPr>
    </w:p>
    <w:p w14:paraId="7EFD64BD" w14:textId="667464FE" w:rsidR="009573CD" w:rsidRDefault="00E14931" w:rsidP="00260434">
      <w:pPr>
        <w:jc w:val="both"/>
      </w:pPr>
      <w:r w:rsidRPr="00112FED">
        <w:rPr>
          <w:rFonts w:ascii="Times New Roman" w:hAnsi="Times New Roman" w:cs="Times New Roman"/>
          <w:noProof/>
          <w:lang w:val="es-ES"/>
        </w:rPr>
        <w:drawing>
          <wp:anchor distT="0" distB="0" distL="114300" distR="114300" simplePos="0" relativeHeight="251660288" behindDoc="0" locked="0" layoutInCell="1" allowOverlap="1" wp14:anchorId="14DB5E32" wp14:editId="764F969C">
            <wp:simplePos x="0" y="0"/>
            <wp:positionH relativeFrom="margin">
              <wp:align>right</wp:align>
            </wp:positionH>
            <wp:positionV relativeFrom="paragraph">
              <wp:posOffset>675640</wp:posOffset>
            </wp:positionV>
            <wp:extent cx="6105525" cy="3200400"/>
            <wp:effectExtent l="38100" t="0" r="0" b="0"/>
            <wp:wrapSquare wrapText="bothSides"/>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anchor>
        </w:drawing>
      </w:r>
      <w:r w:rsidR="009573CD" w:rsidRPr="00112FED">
        <w:rPr>
          <w:rFonts w:ascii="Times New Roman" w:hAnsi="Times New Roman" w:cs="Times New Roman"/>
        </w:rPr>
        <w:t>La siguiente figura muestra un comparativo en el desempeño de los indicadores de los programas presupuestarios entre 2018 y 2019, último año de la anterior administración y primero de la actual, respectivamente. Para ello, se utilizan los datos del cuarto trimestre de ambos años</w:t>
      </w:r>
      <w:r w:rsidR="009573CD">
        <w:t>.</w:t>
      </w:r>
    </w:p>
    <w:p w14:paraId="5A0EA703" w14:textId="568C7BC0" w:rsidR="009573CD" w:rsidRDefault="009573CD" w:rsidP="00260434">
      <w:pPr>
        <w:jc w:val="both"/>
      </w:pPr>
    </w:p>
    <w:p w14:paraId="7F29FDC5" w14:textId="734DF80F" w:rsidR="009573CD" w:rsidRDefault="00015AC1" w:rsidP="00260434">
      <w:pPr>
        <w:jc w:val="both"/>
      </w:pPr>
      <w:r>
        <w:br w:type="textWrapping" w:clear="all"/>
      </w:r>
      <w:r w:rsidR="009573CD">
        <w:t>Como se puede observar, en 2019 el</w:t>
      </w:r>
      <w:r>
        <w:t xml:space="preserve"> cumplimiento de metas fue_9.65% </w:t>
      </w:r>
      <w:r w:rsidR="009573CD">
        <w:t xml:space="preserve">superior, con respecto a 2018. Este resultado se debió, entre otros factores, a una mejor planeación de metas, </w:t>
      </w:r>
      <w:r w:rsidR="007035A1">
        <w:t>así</w:t>
      </w:r>
      <w:r w:rsidR="009573CD">
        <w:t xml:space="preserve"> como a ajustes oportunos en las mismas. Asimismo, algunos de los indicadores de las MIR de los programas de CONACYT fueron mejorados en su diseño, lo cual </w:t>
      </w:r>
      <w:r w:rsidR="007035A1">
        <w:t>incidió</w:t>
      </w:r>
      <w:r w:rsidR="009573CD">
        <w:t xml:space="preserve"> en </w:t>
      </w:r>
      <w:r w:rsidR="007035A1">
        <w:t xml:space="preserve">un </w:t>
      </w:r>
      <w:r w:rsidR="009573CD">
        <w:t>comportamiento más óptimo de los mismos.</w:t>
      </w:r>
    </w:p>
    <w:p w14:paraId="08F96D0D" w14:textId="77777777" w:rsidR="009573CD" w:rsidRDefault="009573CD" w:rsidP="00260434">
      <w:pPr>
        <w:jc w:val="both"/>
      </w:pPr>
    </w:p>
    <w:p w14:paraId="01685F3E" w14:textId="7CFF23BD" w:rsidR="00D81831" w:rsidRPr="00D81831" w:rsidRDefault="009573CD" w:rsidP="00260434">
      <w:pPr>
        <w:jc w:val="both"/>
      </w:pPr>
      <w:r>
        <w:t>Otro aspecto a destacar, son los resultados del in</w:t>
      </w:r>
      <w:r w:rsidR="00D81831">
        <w:t xml:space="preserve">dicador estratégico de las MIR </w:t>
      </w:r>
      <w:r w:rsidR="00D81831" w:rsidRPr="00D81831">
        <w:rPr>
          <w:i/>
        </w:rPr>
        <w:t>“Gasto en Investigación Científica y Desarrollo Experimental (GIDE) ejecutado por la Instituciones de Educación Superior (IES) respecto al Producto Interno Bruto (PIB)”</w:t>
      </w:r>
      <w:r w:rsidR="00D81831">
        <w:t>.</w:t>
      </w:r>
    </w:p>
    <w:p w14:paraId="3D52AB83" w14:textId="77777777" w:rsidR="00D81831" w:rsidRPr="00D81831" w:rsidRDefault="00D81831" w:rsidP="00260434">
      <w:pPr>
        <w:jc w:val="both"/>
        <w:rPr>
          <w:i/>
        </w:rPr>
      </w:pPr>
    </w:p>
    <w:p w14:paraId="63D93036" w14:textId="3A2DCBC8" w:rsidR="009573CD" w:rsidRPr="00273E22" w:rsidRDefault="009573CD" w:rsidP="00260434">
      <w:pPr>
        <w:jc w:val="both"/>
        <w:rPr>
          <w:rFonts w:ascii="Times New Roman" w:hAnsi="Times New Roman" w:cs="Times New Roman"/>
        </w:rPr>
      </w:pPr>
      <w:r w:rsidRPr="00273E22">
        <w:rPr>
          <w:rFonts w:ascii="Times New Roman" w:hAnsi="Times New Roman" w:cs="Times New Roman"/>
        </w:rPr>
        <w:t xml:space="preserve">Como lo ilustra el cuadro siguiente, en el cierre </w:t>
      </w:r>
      <w:r w:rsidR="00D81831" w:rsidRPr="00273E22">
        <w:rPr>
          <w:rFonts w:ascii="Times New Roman" w:hAnsi="Times New Roman" w:cs="Times New Roman"/>
        </w:rPr>
        <w:t xml:space="preserve">de 2018, el indicador estratégico </w:t>
      </w:r>
      <w:r w:rsidRPr="00273E22">
        <w:rPr>
          <w:rFonts w:ascii="Times New Roman" w:hAnsi="Times New Roman" w:cs="Times New Roman"/>
        </w:rPr>
        <w:t>no tuvo un panorama favorable, toda vez que se situó muy por debajo de la meta proyectada.</w:t>
      </w:r>
      <w:r w:rsidR="00D81831" w:rsidRPr="00273E22">
        <w:rPr>
          <w:rFonts w:ascii="Times New Roman" w:hAnsi="Times New Roman" w:cs="Times New Roman"/>
        </w:rPr>
        <w:t xml:space="preserve"> </w:t>
      </w:r>
    </w:p>
    <w:p w14:paraId="511BE75C" w14:textId="09EF947F" w:rsidR="00636346" w:rsidRPr="00273E22" w:rsidRDefault="00636346" w:rsidP="00260434">
      <w:pPr>
        <w:jc w:val="both"/>
        <w:rPr>
          <w:rFonts w:ascii="Times New Roman" w:hAnsi="Times New Roman" w:cs="Times New Roman"/>
        </w:rPr>
      </w:pPr>
    </w:p>
    <w:p w14:paraId="472081A3" w14:textId="451A1837" w:rsidR="00273E22" w:rsidRDefault="00273E22" w:rsidP="00260434">
      <w:pPr>
        <w:jc w:val="both"/>
      </w:pPr>
    </w:p>
    <w:p w14:paraId="151FD332" w14:textId="00F5D725" w:rsidR="00273E22" w:rsidRDefault="00273E22" w:rsidP="00260434">
      <w:pPr>
        <w:jc w:val="both"/>
      </w:pPr>
    </w:p>
    <w:p w14:paraId="724B5FD5" w14:textId="50A873D4" w:rsidR="00273E22" w:rsidRDefault="00273E22" w:rsidP="00260434">
      <w:pPr>
        <w:jc w:val="both"/>
      </w:pPr>
    </w:p>
    <w:p w14:paraId="69705E5C" w14:textId="77777777" w:rsidR="00273E22" w:rsidRDefault="00273E22" w:rsidP="00260434">
      <w:pPr>
        <w:jc w:val="both"/>
      </w:pPr>
    </w:p>
    <w:tbl>
      <w:tblPr>
        <w:tblStyle w:val="Tablaconcuadrcula"/>
        <w:tblW w:w="0" w:type="auto"/>
        <w:tblLook w:val="04A0" w:firstRow="1" w:lastRow="0" w:firstColumn="1" w:lastColumn="0" w:noHBand="0" w:noVBand="1"/>
      </w:tblPr>
      <w:tblGrid>
        <w:gridCol w:w="2419"/>
        <w:gridCol w:w="2419"/>
        <w:gridCol w:w="2420"/>
        <w:gridCol w:w="2420"/>
      </w:tblGrid>
      <w:tr w:rsidR="00636346" w14:paraId="5186954B" w14:textId="77777777" w:rsidTr="006E2A42">
        <w:trPr>
          <w:trHeight w:val="566"/>
        </w:trPr>
        <w:tc>
          <w:tcPr>
            <w:tcW w:w="2419" w:type="dxa"/>
            <w:shd w:val="clear" w:color="auto" w:fill="4F81BD" w:themeFill="accent1"/>
          </w:tcPr>
          <w:p w14:paraId="6A2F323B" w14:textId="272A9191" w:rsidR="00636346" w:rsidRPr="00BA188F" w:rsidRDefault="00636346" w:rsidP="00694019">
            <w:pPr>
              <w:jc w:val="center"/>
              <w:rPr>
                <w:rFonts w:ascii="Times New Roman" w:hAnsi="Times New Roman" w:cs="Times New Roman"/>
                <w:b/>
                <w:sz w:val="32"/>
                <w:szCs w:val="32"/>
              </w:rPr>
            </w:pPr>
            <w:bookmarkStart w:id="0" w:name="_GoBack" w:colFirst="0" w:colLast="3"/>
            <w:r w:rsidRPr="00BA188F">
              <w:rPr>
                <w:rFonts w:ascii="Times New Roman" w:hAnsi="Times New Roman" w:cs="Times New Roman"/>
                <w:b/>
                <w:sz w:val="32"/>
                <w:szCs w:val="32"/>
              </w:rPr>
              <w:lastRenderedPageBreak/>
              <w:t>Periodo</w:t>
            </w:r>
          </w:p>
        </w:tc>
        <w:tc>
          <w:tcPr>
            <w:tcW w:w="2419" w:type="dxa"/>
            <w:shd w:val="clear" w:color="auto" w:fill="4F81BD" w:themeFill="accent1"/>
          </w:tcPr>
          <w:p w14:paraId="2FA6FF3D" w14:textId="2E6ABCC5" w:rsidR="00636346" w:rsidRPr="00BA188F" w:rsidRDefault="00636346" w:rsidP="00694019">
            <w:pPr>
              <w:jc w:val="center"/>
              <w:rPr>
                <w:rFonts w:ascii="Times New Roman" w:hAnsi="Times New Roman" w:cs="Times New Roman"/>
                <w:b/>
                <w:sz w:val="32"/>
                <w:szCs w:val="32"/>
              </w:rPr>
            </w:pPr>
            <w:r w:rsidRPr="00BA188F">
              <w:rPr>
                <w:rFonts w:ascii="Times New Roman" w:hAnsi="Times New Roman" w:cs="Times New Roman"/>
                <w:b/>
                <w:sz w:val="32"/>
                <w:szCs w:val="32"/>
              </w:rPr>
              <w:t>Indicador</w:t>
            </w:r>
          </w:p>
        </w:tc>
        <w:tc>
          <w:tcPr>
            <w:tcW w:w="2420" w:type="dxa"/>
            <w:shd w:val="clear" w:color="auto" w:fill="4F81BD" w:themeFill="accent1"/>
          </w:tcPr>
          <w:p w14:paraId="349AA007" w14:textId="187B3E19" w:rsidR="00636346" w:rsidRPr="00BA188F" w:rsidRDefault="00636346" w:rsidP="00694019">
            <w:pPr>
              <w:jc w:val="center"/>
              <w:rPr>
                <w:rFonts w:ascii="Times New Roman" w:hAnsi="Times New Roman" w:cs="Times New Roman"/>
                <w:b/>
                <w:sz w:val="32"/>
                <w:szCs w:val="32"/>
              </w:rPr>
            </w:pPr>
            <w:r w:rsidRPr="00BA188F">
              <w:rPr>
                <w:rFonts w:ascii="Times New Roman" w:hAnsi="Times New Roman" w:cs="Times New Roman"/>
                <w:b/>
                <w:sz w:val="32"/>
                <w:szCs w:val="32"/>
              </w:rPr>
              <w:t>Meta planeada</w:t>
            </w:r>
          </w:p>
        </w:tc>
        <w:tc>
          <w:tcPr>
            <w:tcW w:w="2420" w:type="dxa"/>
            <w:shd w:val="clear" w:color="auto" w:fill="4F81BD" w:themeFill="accent1"/>
          </w:tcPr>
          <w:p w14:paraId="2AF9F05B" w14:textId="4141D171" w:rsidR="00636346" w:rsidRPr="00BA188F" w:rsidRDefault="00636346" w:rsidP="00694019">
            <w:pPr>
              <w:jc w:val="center"/>
              <w:rPr>
                <w:rFonts w:ascii="Times New Roman" w:hAnsi="Times New Roman" w:cs="Times New Roman"/>
                <w:b/>
                <w:sz w:val="32"/>
                <w:szCs w:val="32"/>
              </w:rPr>
            </w:pPr>
            <w:r w:rsidRPr="00BA188F">
              <w:rPr>
                <w:rFonts w:ascii="Times New Roman" w:hAnsi="Times New Roman" w:cs="Times New Roman"/>
                <w:b/>
                <w:sz w:val="32"/>
                <w:szCs w:val="32"/>
              </w:rPr>
              <w:t>Meta alcanzada</w:t>
            </w:r>
          </w:p>
        </w:tc>
      </w:tr>
      <w:bookmarkEnd w:id="0"/>
      <w:tr w:rsidR="00636346" w14:paraId="12829A69" w14:textId="77777777" w:rsidTr="00636346">
        <w:tc>
          <w:tcPr>
            <w:tcW w:w="2419" w:type="dxa"/>
          </w:tcPr>
          <w:p w14:paraId="331A4DF7" w14:textId="7A6F3106" w:rsidR="00636346" w:rsidRPr="000B2628" w:rsidRDefault="00636346" w:rsidP="006E2A42">
            <w:pPr>
              <w:jc w:val="center"/>
              <w:rPr>
                <w:rFonts w:ascii="Times New Roman" w:hAnsi="Times New Roman" w:cs="Times New Roman"/>
              </w:rPr>
            </w:pPr>
            <w:r w:rsidRPr="000B2628">
              <w:rPr>
                <w:rFonts w:ascii="Times New Roman" w:hAnsi="Times New Roman" w:cs="Times New Roman"/>
              </w:rPr>
              <w:t>4° trimestre 2018</w:t>
            </w:r>
          </w:p>
        </w:tc>
        <w:tc>
          <w:tcPr>
            <w:tcW w:w="2419" w:type="dxa"/>
          </w:tcPr>
          <w:p w14:paraId="132DCFE7" w14:textId="5FEE4438" w:rsidR="00636346" w:rsidRPr="000B2628" w:rsidRDefault="00636346" w:rsidP="006E2A42">
            <w:pPr>
              <w:jc w:val="center"/>
              <w:rPr>
                <w:rFonts w:ascii="Times New Roman" w:hAnsi="Times New Roman" w:cs="Times New Roman"/>
              </w:rPr>
            </w:pPr>
            <w:r w:rsidRPr="000B2628">
              <w:rPr>
                <w:rFonts w:ascii="Times New Roman" w:hAnsi="Times New Roman" w:cs="Times New Roman"/>
              </w:rPr>
              <w:t>“Gasto en Investigación Científica y Desarrollo Experimental (GIDE) ejecutado por la Instituciones de Educación Superior (IES) respecto al Producto Interno Bruto (PIB)”.</w:t>
            </w:r>
          </w:p>
        </w:tc>
        <w:tc>
          <w:tcPr>
            <w:tcW w:w="2420" w:type="dxa"/>
          </w:tcPr>
          <w:p w14:paraId="5F8D9C38" w14:textId="677CEB88" w:rsidR="00636346" w:rsidRPr="000B2628" w:rsidRDefault="00636346" w:rsidP="006E2A42">
            <w:pPr>
              <w:jc w:val="center"/>
              <w:rPr>
                <w:rFonts w:ascii="Times New Roman" w:hAnsi="Times New Roman" w:cs="Times New Roman"/>
                <w:sz w:val="40"/>
                <w:szCs w:val="40"/>
              </w:rPr>
            </w:pPr>
            <w:r w:rsidRPr="000B2628">
              <w:rPr>
                <w:rFonts w:ascii="Times New Roman" w:hAnsi="Times New Roman" w:cs="Times New Roman"/>
                <w:sz w:val="40"/>
                <w:szCs w:val="40"/>
              </w:rPr>
              <w:t>0.25</w:t>
            </w:r>
          </w:p>
        </w:tc>
        <w:tc>
          <w:tcPr>
            <w:tcW w:w="2420" w:type="dxa"/>
          </w:tcPr>
          <w:p w14:paraId="56AEFF3D" w14:textId="0EAFDA94" w:rsidR="00636346" w:rsidRPr="000B2628" w:rsidRDefault="00636346" w:rsidP="006E2A42">
            <w:pPr>
              <w:jc w:val="center"/>
              <w:rPr>
                <w:rFonts w:ascii="Times New Roman" w:hAnsi="Times New Roman" w:cs="Times New Roman"/>
                <w:sz w:val="40"/>
                <w:szCs w:val="40"/>
              </w:rPr>
            </w:pPr>
            <w:r w:rsidRPr="000B2628">
              <w:rPr>
                <w:rFonts w:ascii="Times New Roman" w:hAnsi="Times New Roman" w:cs="Times New Roman"/>
                <w:sz w:val="40"/>
                <w:szCs w:val="40"/>
              </w:rPr>
              <w:t>0.14</w:t>
            </w:r>
          </w:p>
        </w:tc>
      </w:tr>
      <w:tr w:rsidR="00636346" w14:paraId="7960023C" w14:textId="77777777" w:rsidTr="00636346">
        <w:tc>
          <w:tcPr>
            <w:tcW w:w="2419" w:type="dxa"/>
          </w:tcPr>
          <w:p w14:paraId="376A5A0E" w14:textId="3331F2CE" w:rsidR="00636346" w:rsidRPr="000B2628" w:rsidRDefault="00636346" w:rsidP="006E2A42">
            <w:pPr>
              <w:jc w:val="center"/>
              <w:rPr>
                <w:rFonts w:ascii="Times New Roman" w:hAnsi="Times New Roman" w:cs="Times New Roman"/>
              </w:rPr>
            </w:pPr>
            <w:r w:rsidRPr="000B2628">
              <w:rPr>
                <w:rFonts w:ascii="Times New Roman" w:hAnsi="Times New Roman" w:cs="Times New Roman"/>
              </w:rPr>
              <w:t>4° trimestre 2019</w:t>
            </w:r>
          </w:p>
        </w:tc>
        <w:tc>
          <w:tcPr>
            <w:tcW w:w="2419" w:type="dxa"/>
          </w:tcPr>
          <w:p w14:paraId="060D8F80" w14:textId="01E19984" w:rsidR="00636346" w:rsidRPr="000B2628" w:rsidRDefault="00636346" w:rsidP="006E2A42">
            <w:pPr>
              <w:jc w:val="center"/>
              <w:rPr>
                <w:rFonts w:ascii="Times New Roman" w:hAnsi="Times New Roman" w:cs="Times New Roman"/>
              </w:rPr>
            </w:pPr>
            <w:r w:rsidRPr="000B2628">
              <w:rPr>
                <w:rFonts w:ascii="Times New Roman" w:hAnsi="Times New Roman" w:cs="Times New Roman"/>
              </w:rPr>
              <w:t>“Gasto en Investigación Científica y Desarrollo Experimental (GIDE) ejecutado por la Instituciones de Educación Superior (IES) respecto al Producto Interno Bruto (PIB)”.</w:t>
            </w:r>
          </w:p>
        </w:tc>
        <w:tc>
          <w:tcPr>
            <w:tcW w:w="2420" w:type="dxa"/>
          </w:tcPr>
          <w:p w14:paraId="5146CEC2" w14:textId="31A8B30B" w:rsidR="00636346" w:rsidRPr="000B2628" w:rsidRDefault="006E2A42" w:rsidP="006E2A42">
            <w:pPr>
              <w:jc w:val="center"/>
              <w:rPr>
                <w:rFonts w:ascii="Times New Roman" w:hAnsi="Times New Roman" w:cs="Times New Roman"/>
                <w:sz w:val="40"/>
                <w:szCs w:val="40"/>
              </w:rPr>
            </w:pPr>
            <w:r w:rsidRPr="000B2628">
              <w:rPr>
                <w:rFonts w:ascii="Times New Roman" w:hAnsi="Times New Roman" w:cs="Times New Roman"/>
                <w:sz w:val="40"/>
                <w:szCs w:val="40"/>
              </w:rPr>
              <w:t>0.17</w:t>
            </w:r>
          </w:p>
        </w:tc>
        <w:tc>
          <w:tcPr>
            <w:tcW w:w="2420" w:type="dxa"/>
          </w:tcPr>
          <w:p w14:paraId="29D8B498" w14:textId="1E3C9E8E" w:rsidR="00636346" w:rsidRPr="000B2628" w:rsidRDefault="006E2A42" w:rsidP="006E2A42">
            <w:pPr>
              <w:jc w:val="center"/>
              <w:rPr>
                <w:rFonts w:ascii="Times New Roman" w:hAnsi="Times New Roman" w:cs="Times New Roman"/>
                <w:sz w:val="40"/>
                <w:szCs w:val="40"/>
              </w:rPr>
            </w:pPr>
            <w:r w:rsidRPr="000B2628">
              <w:rPr>
                <w:rFonts w:ascii="Times New Roman" w:hAnsi="Times New Roman" w:cs="Times New Roman"/>
                <w:sz w:val="40"/>
                <w:szCs w:val="40"/>
              </w:rPr>
              <w:t>0.17</w:t>
            </w:r>
          </w:p>
        </w:tc>
      </w:tr>
    </w:tbl>
    <w:p w14:paraId="0B82F9D5" w14:textId="77777777" w:rsidR="00636346" w:rsidRDefault="00636346" w:rsidP="00260434">
      <w:pPr>
        <w:jc w:val="both"/>
      </w:pPr>
    </w:p>
    <w:p w14:paraId="1E1A18C9" w14:textId="155CECEC" w:rsidR="009573CD" w:rsidRPr="000B2628" w:rsidRDefault="009573CD" w:rsidP="00260434">
      <w:pPr>
        <w:jc w:val="both"/>
        <w:rPr>
          <w:rFonts w:ascii="Times New Roman" w:hAnsi="Times New Roman" w:cs="Times New Roman"/>
        </w:rPr>
      </w:pPr>
      <w:r w:rsidRPr="000B2628">
        <w:rPr>
          <w:rFonts w:ascii="Times New Roman" w:hAnsi="Times New Roman" w:cs="Times New Roman"/>
        </w:rPr>
        <w:t>Para 2019, la meta del indicador fue aj</w:t>
      </w:r>
      <w:r w:rsidR="002B2827">
        <w:rPr>
          <w:rFonts w:ascii="Times New Roman" w:hAnsi="Times New Roman" w:cs="Times New Roman"/>
        </w:rPr>
        <w:t>ustada, considerando un escenario</w:t>
      </w:r>
      <w:r w:rsidRPr="000B2628">
        <w:rPr>
          <w:rFonts w:ascii="Times New Roman" w:hAnsi="Times New Roman" w:cs="Times New Roman"/>
        </w:rPr>
        <w:t xml:space="preserve"> </w:t>
      </w:r>
      <w:r w:rsidR="00D81831" w:rsidRPr="000B2628">
        <w:rPr>
          <w:rFonts w:ascii="Times New Roman" w:hAnsi="Times New Roman" w:cs="Times New Roman"/>
        </w:rPr>
        <w:t>más</w:t>
      </w:r>
      <w:r w:rsidRPr="000B2628">
        <w:rPr>
          <w:rFonts w:ascii="Times New Roman" w:hAnsi="Times New Roman" w:cs="Times New Roman"/>
        </w:rPr>
        <w:t xml:space="preserve"> apegado al contexto </w:t>
      </w:r>
      <w:r w:rsidR="00D81831" w:rsidRPr="000B2628">
        <w:rPr>
          <w:rFonts w:ascii="Times New Roman" w:hAnsi="Times New Roman" w:cs="Times New Roman"/>
        </w:rPr>
        <w:t>científico</w:t>
      </w:r>
      <w:r w:rsidRPr="000B2628">
        <w:rPr>
          <w:rFonts w:ascii="Times New Roman" w:hAnsi="Times New Roman" w:cs="Times New Roman"/>
        </w:rPr>
        <w:t xml:space="preserve"> y tecnológico del país, lo que </w:t>
      </w:r>
      <w:r w:rsidR="00D81831" w:rsidRPr="000B2628">
        <w:rPr>
          <w:rFonts w:ascii="Times New Roman" w:hAnsi="Times New Roman" w:cs="Times New Roman"/>
        </w:rPr>
        <w:t xml:space="preserve">redundó en </w:t>
      </w:r>
      <w:r w:rsidR="006E2A42" w:rsidRPr="000B2628">
        <w:rPr>
          <w:rFonts w:ascii="Times New Roman" w:hAnsi="Times New Roman" w:cs="Times New Roman"/>
        </w:rPr>
        <w:t xml:space="preserve">un </w:t>
      </w:r>
      <w:r w:rsidR="00D81831" w:rsidRPr="000B2628">
        <w:rPr>
          <w:rFonts w:ascii="Times New Roman" w:hAnsi="Times New Roman" w:cs="Times New Roman"/>
        </w:rPr>
        <w:t>mayor cumplimiento del dato proyectado</w:t>
      </w:r>
      <w:r w:rsidRPr="000B2628">
        <w:rPr>
          <w:rFonts w:ascii="Times New Roman" w:hAnsi="Times New Roman" w:cs="Times New Roman"/>
        </w:rPr>
        <w:t xml:space="preserve">. </w:t>
      </w:r>
    </w:p>
    <w:p w14:paraId="6A35A70A" w14:textId="77777777" w:rsidR="009573CD" w:rsidRDefault="009573CD" w:rsidP="009573CD"/>
    <w:p w14:paraId="27562A8A" w14:textId="77777777" w:rsidR="009573CD" w:rsidRDefault="009573CD" w:rsidP="009573CD"/>
    <w:p w14:paraId="6710E9DB" w14:textId="1BBA36C2" w:rsidR="009573CD" w:rsidRDefault="009573CD" w:rsidP="009573CD">
      <w:pPr>
        <w:jc w:val="center"/>
        <w:rPr>
          <w:rFonts w:ascii="Arial" w:hAnsi="Arial"/>
        </w:rPr>
      </w:pPr>
    </w:p>
    <w:p w14:paraId="51D380CD" w14:textId="3A010786" w:rsidR="006E2A42" w:rsidRDefault="006E2A42" w:rsidP="009573CD">
      <w:pPr>
        <w:jc w:val="center"/>
        <w:rPr>
          <w:rFonts w:ascii="Arial" w:hAnsi="Arial"/>
        </w:rPr>
      </w:pPr>
    </w:p>
    <w:p w14:paraId="548A6B5B" w14:textId="5D456D6E" w:rsidR="006E2A42" w:rsidRDefault="006E2A42" w:rsidP="009573CD">
      <w:pPr>
        <w:jc w:val="center"/>
        <w:rPr>
          <w:rFonts w:ascii="Arial" w:hAnsi="Arial"/>
        </w:rPr>
      </w:pPr>
    </w:p>
    <w:p w14:paraId="4B83F9F7" w14:textId="21194CE1" w:rsidR="006E2A42" w:rsidRDefault="006E2A42" w:rsidP="009573CD">
      <w:pPr>
        <w:jc w:val="center"/>
        <w:rPr>
          <w:rFonts w:ascii="Arial" w:hAnsi="Arial"/>
        </w:rPr>
      </w:pPr>
    </w:p>
    <w:p w14:paraId="62A7068A" w14:textId="3CB2BBD1" w:rsidR="006E2A42" w:rsidRDefault="006E2A42" w:rsidP="009573CD">
      <w:pPr>
        <w:jc w:val="center"/>
        <w:rPr>
          <w:rFonts w:ascii="Arial" w:hAnsi="Arial"/>
        </w:rPr>
      </w:pPr>
    </w:p>
    <w:p w14:paraId="2FDC190B" w14:textId="29B985DA" w:rsidR="006E2A42" w:rsidRDefault="006E2A42" w:rsidP="009573CD">
      <w:pPr>
        <w:jc w:val="center"/>
        <w:rPr>
          <w:rFonts w:ascii="Arial" w:hAnsi="Arial"/>
        </w:rPr>
      </w:pPr>
    </w:p>
    <w:p w14:paraId="4D50C147" w14:textId="2E13ACC4" w:rsidR="006E2A42" w:rsidRDefault="006E2A42" w:rsidP="009573CD">
      <w:pPr>
        <w:jc w:val="center"/>
        <w:rPr>
          <w:rFonts w:ascii="Arial" w:hAnsi="Arial"/>
        </w:rPr>
      </w:pPr>
    </w:p>
    <w:p w14:paraId="43D7AB3A" w14:textId="43D0A99C" w:rsidR="006E2A42" w:rsidRDefault="006E2A42" w:rsidP="009573CD">
      <w:pPr>
        <w:jc w:val="center"/>
        <w:rPr>
          <w:rFonts w:ascii="Arial" w:hAnsi="Arial"/>
        </w:rPr>
      </w:pPr>
    </w:p>
    <w:p w14:paraId="3707A1D6" w14:textId="7581D3AD" w:rsidR="006E2A42" w:rsidRDefault="006E2A42" w:rsidP="009573CD">
      <w:pPr>
        <w:jc w:val="center"/>
        <w:rPr>
          <w:rFonts w:ascii="Arial" w:hAnsi="Arial"/>
        </w:rPr>
      </w:pPr>
    </w:p>
    <w:p w14:paraId="10A29B52" w14:textId="492D5BDA" w:rsidR="000B2628" w:rsidRDefault="000B2628" w:rsidP="009573CD">
      <w:pPr>
        <w:jc w:val="center"/>
        <w:rPr>
          <w:rFonts w:ascii="Arial" w:hAnsi="Arial"/>
        </w:rPr>
      </w:pPr>
    </w:p>
    <w:p w14:paraId="6C298379" w14:textId="0FA5AB87" w:rsidR="000B2628" w:rsidRDefault="000B2628" w:rsidP="009573CD">
      <w:pPr>
        <w:jc w:val="center"/>
        <w:rPr>
          <w:rFonts w:ascii="Arial" w:hAnsi="Arial"/>
        </w:rPr>
      </w:pPr>
    </w:p>
    <w:p w14:paraId="61B2032D" w14:textId="0530CAD7" w:rsidR="000B2628" w:rsidRDefault="000B2628" w:rsidP="009573CD">
      <w:pPr>
        <w:jc w:val="center"/>
        <w:rPr>
          <w:rFonts w:ascii="Arial" w:hAnsi="Arial"/>
        </w:rPr>
      </w:pPr>
    </w:p>
    <w:p w14:paraId="3BE24663" w14:textId="72B32B37" w:rsidR="000B2628" w:rsidRDefault="000B2628" w:rsidP="009573CD">
      <w:pPr>
        <w:jc w:val="center"/>
        <w:rPr>
          <w:rFonts w:ascii="Arial" w:hAnsi="Arial"/>
        </w:rPr>
      </w:pPr>
    </w:p>
    <w:p w14:paraId="5E8DC25B" w14:textId="7F66141E" w:rsidR="000B2628" w:rsidRDefault="000B2628" w:rsidP="009573CD">
      <w:pPr>
        <w:jc w:val="center"/>
        <w:rPr>
          <w:rFonts w:ascii="Arial" w:hAnsi="Arial"/>
        </w:rPr>
      </w:pPr>
    </w:p>
    <w:p w14:paraId="0A1EB4CB" w14:textId="77777777" w:rsidR="000B2628" w:rsidRDefault="000B2628" w:rsidP="009573CD">
      <w:pPr>
        <w:jc w:val="center"/>
        <w:rPr>
          <w:rFonts w:ascii="Arial" w:hAnsi="Arial"/>
        </w:rPr>
      </w:pPr>
    </w:p>
    <w:p w14:paraId="17D85458" w14:textId="61286771" w:rsidR="006E2A42" w:rsidRDefault="006E2A42" w:rsidP="009573CD">
      <w:pPr>
        <w:jc w:val="center"/>
        <w:rPr>
          <w:rFonts w:ascii="Arial" w:hAnsi="Arial"/>
        </w:rPr>
      </w:pPr>
    </w:p>
    <w:p w14:paraId="66155215" w14:textId="5AFAEF61" w:rsidR="006E2A42" w:rsidRDefault="006E2A42" w:rsidP="009573CD">
      <w:pPr>
        <w:jc w:val="center"/>
        <w:rPr>
          <w:rFonts w:ascii="Arial" w:hAnsi="Arial"/>
        </w:rPr>
      </w:pPr>
    </w:p>
    <w:p w14:paraId="22A01E41" w14:textId="77777777" w:rsidR="00112FED" w:rsidRPr="00112FED" w:rsidRDefault="00112FED" w:rsidP="00112FED">
      <w:pPr>
        <w:spacing w:after="200" w:line="276" w:lineRule="auto"/>
        <w:jc w:val="center"/>
        <w:rPr>
          <w:rFonts w:ascii="Times New Roman" w:eastAsia="Calibri" w:hAnsi="Times New Roman" w:cs="Times New Roman"/>
          <w:b/>
          <w:sz w:val="28"/>
          <w:szCs w:val="28"/>
          <w:lang w:val="es-MX" w:eastAsia="en-US"/>
        </w:rPr>
      </w:pPr>
      <w:r w:rsidRPr="00112FED">
        <w:rPr>
          <w:rFonts w:ascii="Times New Roman" w:eastAsia="Calibri" w:hAnsi="Times New Roman" w:cs="Times New Roman"/>
          <w:b/>
          <w:sz w:val="28"/>
          <w:szCs w:val="28"/>
          <w:lang w:val="es-MX" w:eastAsia="en-US"/>
        </w:rPr>
        <w:lastRenderedPageBreak/>
        <w:t>Resultados del Índice de Seguimiento de los Indicadores de Desempeño de la Administración Pública Federal (ISID)</w:t>
      </w:r>
    </w:p>
    <w:p w14:paraId="73B56E50" w14:textId="77777777" w:rsidR="00112FED" w:rsidRPr="00112FED" w:rsidRDefault="00112FED" w:rsidP="00112FED">
      <w:pPr>
        <w:spacing w:after="200" w:line="276" w:lineRule="auto"/>
        <w:jc w:val="both"/>
        <w:rPr>
          <w:rFonts w:ascii="Times New Roman" w:eastAsia="Calibri" w:hAnsi="Times New Roman" w:cs="Times New Roman"/>
          <w:lang w:val="es-MX" w:eastAsia="en-US"/>
        </w:rPr>
      </w:pPr>
      <w:r w:rsidRPr="00112FED">
        <w:rPr>
          <w:rFonts w:ascii="Times New Roman" w:eastAsia="Calibri" w:hAnsi="Times New Roman" w:cs="Times New Roman"/>
          <w:lang w:val="es-MX" w:eastAsia="en-US"/>
        </w:rPr>
        <w:t xml:space="preserve">Se presentaron los resultados de 2019 del Índice de Seguimiento de los Indicadores de Desempeño de la Administración Pública Federal (ISID), emitido por la UED de SHCP. Este índice mide el cumplimiento de metas de las dependencias de la APF, así como la calidad de los indicadores de sus MIR. </w:t>
      </w:r>
    </w:p>
    <w:p w14:paraId="1255F6F0" w14:textId="77777777" w:rsidR="00112FED" w:rsidRPr="00112FED" w:rsidRDefault="00112FED" w:rsidP="00112FED">
      <w:pPr>
        <w:spacing w:after="200" w:line="276" w:lineRule="auto"/>
        <w:jc w:val="both"/>
        <w:rPr>
          <w:rFonts w:ascii="Times New Roman" w:eastAsia="Calibri" w:hAnsi="Times New Roman" w:cs="Times New Roman"/>
          <w:lang w:val="es-MX" w:eastAsia="en-US"/>
        </w:rPr>
      </w:pPr>
      <w:r w:rsidRPr="00112FED">
        <w:rPr>
          <w:rFonts w:ascii="Times New Roman" w:eastAsia="Calibri" w:hAnsi="Times New Roman" w:cs="Times New Roman"/>
          <w:lang w:val="es-MX" w:eastAsia="en-US"/>
        </w:rPr>
        <w:t>El análisis se hace por Ramo, y las puntuaciones oscilan entre 0 y 1, siendo 1 la calificación máxima. El índice se compone de las siguientes 3 variables:</w:t>
      </w:r>
    </w:p>
    <w:p w14:paraId="06EF230B" w14:textId="77777777" w:rsidR="00112FED" w:rsidRPr="00112FED" w:rsidRDefault="00112FED" w:rsidP="00112FED">
      <w:pPr>
        <w:spacing w:after="200" w:line="276" w:lineRule="auto"/>
        <w:jc w:val="both"/>
        <w:rPr>
          <w:rFonts w:ascii="Times New Roman" w:eastAsia="Calibri" w:hAnsi="Times New Roman" w:cs="Times New Roman"/>
          <w:lang w:val="es-MX" w:eastAsia="en-US"/>
        </w:rPr>
      </w:pPr>
      <w:r w:rsidRPr="00112FED">
        <w:rPr>
          <w:rFonts w:ascii="Times New Roman" w:eastAsia="Calibri" w:hAnsi="Times New Roman" w:cs="Times New Roman"/>
          <w:lang w:val="es-MX" w:eastAsia="en-US"/>
        </w:rPr>
        <w:t xml:space="preserve">1. Relevancia </w:t>
      </w:r>
    </w:p>
    <w:p w14:paraId="1F2005E9" w14:textId="77777777" w:rsidR="00112FED" w:rsidRPr="00112FED" w:rsidRDefault="00112FED" w:rsidP="00112FED">
      <w:pPr>
        <w:spacing w:after="200" w:line="276" w:lineRule="auto"/>
        <w:jc w:val="both"/>
        <w:rPr>
          <w:rFonts w:ascii="Times New Roman" w:eastAsia="Calibri" w:hAnsi="Times New Roman" w:cs="Times New Roman"/>
          <w:lang w:val="es-MX" w:eastAsia="en-US"/>
        </w:rPr>
      </w:pPr>
      <w:r w:rsidRPr="00112FED">
        <w:rPr>
          <w:rFonts w:ascii="Times New Roman" w:eastAsia="Calibri" w:hAnsi="Times New Roman" w:cs="Times New Roman"/>
          <w:lang w:val="es-MX" w:eastAsia="en-US"/>
        </w:rPr>
        <w:t xml:space="preserve">Valora si el indicador permite medir el desempeño del objetivo correspondiente en la MIR (este dato se obtiene de las valoraciones de las MIR que hacen tanto la UED como el CONEVAL). </w:t>
      </w:r>
    </w:p>
    <w:p w14:paraId="2A8F75DE" w14:textId="77777777" w:rsidR="00112FED" w:rsidRPr="00112FED" w:rsidRDefault="00112FED" w:rsidP="00112FED">
      <w:pPr>
        <w:spacing w:after="200" w:line="276" w:lineRule="auto"/>
        <w:jc w:val="both"/>
        <w:rPr>
          <w:rFonts w:ascii="Times New Roman" w:eastAsia="Calibri" w:hAnsi="Times New Roman" w:cs="Times New Roman"/>
          <w:lang w:val="es-MX" w:eastAsia="en-US"/>
        </w:rPr>
      </w:pPr>
      <w:r w:rsidRPr="00112FED">
        <w:rPr>
          <w:rFonts w:ascii="Times New Roman" w:eastAsia="Calibri" w:hAnsi="Times New Roman" w:cs="Times New Roman"/>
          <w:lang w:val="es-MX" w:eastAsia="en-US"/>
        </w:rPr>
        <w:t xml:space="preserve">2. Sentido </w:t>
      </w:r>
    </w:p>
    <w:p w14:paraId="5CA97E4B" w14:textId="77777777" w:rsidR="00112FED" w:rsidRPr="00112FED" w:rsidRDefault="00112FED" w:rsidP="00112FED">
      <w:pPr>
        <w:spacing w:after="200" w:line="276" w:lineRule="auto"/>
        <w:jc w:val="both"/>
        <w:rPr>
          <w:rFonts w:ascii="Times New Roman" w:eastAsia="Calibri" w:hAnsi="Times New Roman" w:cs="Times New Roman"/>
          <w:lang w:val="es-MX" w:eastAsia="en-US"/>
        </w:rPr>
      </w:pPr>
      <w:r w:rsidRPr="00112FED">
        <w:rPr>
          <w:rFonts w:ascii="Times New Roman" w:eastAsia="Calibri" w:hAnsi="Times New Roman" w:cs="Times New Roman"/>
          <w:lang w:val="es-MX" w:eastAsia="en-US"/>
        </w:rPr>
        <w:t xml:space="preserve">Valora si los avances del indicador, en relación con su avance inmediato anterior, mantienen la tendencia que se busca alcanzar de acuerdo con sus metas (Informes trimestrales y Cuenta Pública, según aplique). </w:t>
      </w:r>
    </w:p>
    <w:p w14:paraId="6D5EE95F" w14:textId="77777777" w:rsidR="00112FED" w:rsidRPr="00112FED" w:rsidRDefault="00112FED" w:rsidP="00112FED">
      <w:pPr>
        <w:spacing w:after="200" w:line="276" w:lineRule="auto"/>
        <w:jc w:val="both"/>
        <w:rPr>
          <w:rFonts w:ascii="Times New Roman" w:eastAsia="Calibri" w:hAnsi="Times New Roman" w:cs="Times New Roman"/>
          <w:lang w:val="es-MX" w:eastAsia="en-US"/>
        </w:rPr>
      </w:pPr>
      <w:r w:rsidRPr="00112FED">
        <w:rPr>
          <w:rFonts w:ascii="Times New Roman" w:eastAsia="Calibri" w:hAnsi="Times New Roman" w:cs="Times New Roman"/>
          <w:lang w:val="es-MX" w:eastAsia="en-US"/>
        </w:rPr>
        <w:t xml:space="preserve">3. Avances </w:t>
      </w:r>
    </w:p>
    <w:p w14:paraId="6D2BD174" w14:textId="77777777" w:rsidR="00112FED" w:rsidRPr="00112FED" w:rsidRDefault="00112FED" w:rsidP="00112FED">
      <w:pPr>
        <w:spacing w:after="200" w:line="276" w:lineRule="auto"/>
        <w:jc w:val="both"/>
        <w:rPr>
          <w:rFonts w:ascii="Times New Roman" w:eastAsia="Calibri" w:hAnsi="Times New Roman" w:cs="Times New Roman"/>
          <w:lang w:val="es-MX" w:eastAsia="en-US"/>
        </w:rPr>
      </w:pPr>
      <w:r w:rsidRPr="00112FED">
        <w:rPr>
          <w:rFonts w:ascii="Times New Roman" w:eastAsia="Calibri" w:hAnsi="Times New Roman" w:cs="Times New Roman"/>
          <w:lang w:val="es-MX" w:eastAsia="en-US"/>
        </w:rPr>
        <w:t xml:space="preserve">Valora si los avances en las metas reportadas para el indicador son congruentes con las metas ajustadas o programadas (Informes trimestrales y Cuenta Pública, según aplique). </w:t>
      </w:r>
    </w:p>
    <w:p w14:paraId="450F375E" w14:textId="32D34E89" w:rsidR="00112FED" w:rsidRPr="00112FED" w:rsidRDefault="00112FED" w:rsidP="00112FED">
      <w:pPr>
        <w:spacing w:after="200" w:line="276" w:lineRule="auto"/>
        <w:jc w:val="both"/>
        <w:rPr>
          <w:rFonts w:ascii="Times New Roman" w:eastAsia="Calibri" w:hAnsi="Times New Roman" w:cs="Times New Roman"/>
          <w:lang w:val="es-MX" w:eastAsia="en-US"/>
        </w:rPr>
      </w:pPr>
      <w:r w:rsidRPr="00112FED">
        <w:rPr>
          <w:rFonts w:ascii="Times New Roman" w:eastAsia="Calibri" w:hAnsi="Times New Roman" w:cs="Times New Roman"/>
          <w:lang w:val="es-MX" w:eastAsia="en-US"/>
        </w:rPr>
        <w:t xml:space="preserve">El ISID de 2019 mostró resultados de la Cuenta Pública 2018, así como un balance al 3° trimestre de 2019, </w:t>
      </w:r>
      <w:r w:rsidR="00E610D4">
        <w:rPr>
          <w:rFonts w:ascii="Times New Roman" w:eastAsia="Calibri" w:hAnsi="Times New Roman" w:cs="Times New Roman"/>
          <w:lang w:val="es-MX" w:eastAsia="en-US"/>
        </w:rPr>
        <w:t>con las siguientes cifras</w:t>
      </w:r>
      <w:r w:rsidRPr="00112FED">
        <w:rPr>
          <w:rFonts w:ascii="Times New Roman" w:eastAsia="Calibri" w:hAnsi="Times New Roman" w:cs="Times New Roman"/>
          <w:lang w:val="es-MX" w:eastAsia="en-US"/>
        </w:rPr>
        <w:t xml:space="preserve"> para CONACYT:</w:t>
      </w:r>
    </w:p>
    <w:tbl>
      <w:tblPr>
        <w:tblStyle w:val="Tablaconcuadrcula1"/>
        <w:tblW w:w="0" w:type="auto"/>
        <w:tblLook w:val="04A0" w:firstRow="1" w:lastRow="0" w:firstColumn="1" w:lastColumn="0" w:noHBand="0" w:noVBand="1"/>
      </w:tblPr>
      <w:tblGrid>
        <w:gridCol w:w="2942"/>
        <w:gridCol w:w="2943"/>
        <w:gridCol w:w="2943"/>
      </w:tblGrid>
      <w:tr w:rsidR="00112FED" w:rsidRPr="00112FED" w14:paraId="3C05577C" w14:textId="77777777" w:rsidTr="00112FED">
        <w:tc>
          <w:tcPr>
            <w:tcW w:w="2942" w:type="dxa"/>
            <w:shd w:val="clear" w:color="auto" w:fill="8DB3E2"/>
          </w:tcPr>
          <w:p w14:paraId="73CBDE19" w14:textId="77777777" w:rsidR="00112FED" w:rsidRPr="00112FED" w:rsidRDefault="00112FED" w:rsidP="00112FED">
            <w:pPr>
              <w:jc w:val="center"/>
              <w:rPr>
                <w:rFonts w:ascii="Times New Roman" w:hAnsi="Times New Roman" w:cs="Times New Roman"/>
                <w:sz w:val="24"/>
                <w:szCs w:val="24"/>
              </w:rPr>
            </w:pPr>
            <w:r w:rsidRPr="00112FED">
              <w:rPr>
                <w:rFonts w:ascii="Times New Roman" w:hAnsi="Times New Roman" w:cs="Times New Roman"/>
                <w:sz w:val="24"/>
                <w:szCs w:val="24"/>
              </w:rPr>
              <w:t>RAMO</w:t>
            </w:r>
          </w:p>
        </w:tc>
        <w:tc>
          <w:tcPr>
            <w:tcW w:w="2943" w:type="dxa"/>
            <w:shd w:val="clear" w:color="auto" w:fill="8DB3E2"/>
          </w:tcPr>
          <w:p w14:paraId="6F1453D3" w14:textId="77777777" w:rsidR="00112FED" w:rsidRPr="00112FED" w:rsidRDefault="00112FED" w:rsidP="00112FED">
            <w:pPr>
              <w:jc w:val="center"/>
              <w:rPr>
                <w:rFonts w:ascii="Times New Roman" w:hAnsi="Times New Roman" w:cs="Times New Roman"/>
                <w:sz w:val="24"/>
                <w:szCs w:val="24"/>
              </w:rPr>
            </w:pPr>
            <w:r w:rsidRPr="00112FED">
              <w:rPr>
                <w:rFonts w:ascii="Times New Roman" w:hAnsi="Times New Roman" w:cs="Times New Roman"/>
                <w:sz w:val="24"/>
                <w:szCs w:val="24"/>
              </w:rPr>
              <w:t>PERIODO</w:t>
            </w:r>
          </w:p>
        </w:tc>
        <w:tc>
          <w:tcPr>
            <w:tcW w:w="2943" w:type="dxa"/>
            <w:shd w:val="clear" w:color="auto" w:fill="8DB3E2"/>
          </w:tcPr>
          <w:p w14:paraId="79E0B179" w14:textId="77777777" w:rsidR="00112FED" w:rsidRPr="00112FED" w:rsidRDefault="00112FED" w:rsidP="00112FED">
            <w:pPr>
              <w:jc w:val="center"/>
              <w:rPr>
                <w:rFonts w:ascii="Times New Roman" w:hAnsi="Times New Roman" w:cs="Times New Roman"/>
                <w:sz w:val="24"/>
                <w:szCs w:val="24"/>
              </w:rPr>
            </w:pPr>
            <w:r w:rsidRPr="00112FED">
              <w:rPr>
                <w:rFonts w:ascii="Times New Roman" w:hAnsi="Times New Roman" w:cs="Times New Roman"/>
                <w:sz w:val="24"/>
                <w:szCs w:val="24"/>
              </w:rPr>
              <w:t>CALIFICACIÓN</w:t>
            </w:r>
          </w:p>
        </w:tc>
      </w:tr>
      <w:tr w:rsidR="00112FED" w:rsidRPr="00112FED" w14:paraId="76E005C5" w14:textId="77777777" w:rsidTr="00D94EA1">
        <w:tc>
          <w:tcPr>
            <w:tcW w:w="2942" w:type="dxa"/>
          </w:tcPr>
          <w:p w14:paraId="33F9F282"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 xml:space="preserve">38 “Consejo Nacional de Ciencia y Tecnología” </w:t>
            </w:r>
          </w:p>
        </w:tc>
        <w:tc>
          <w:tcPr>
            <w:tcW w:w="2943" w:type="dxa"/>
          </w:tcPr>
          <w:p w14:paraId="16D9437D"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Cuenta Pública 2018</w:t>
            </w:r>
          </w:p>
        </w:tc>
        <w:tc>
          <w:tcPr>
            <w:tcW w:w="2943" w:type="dxa"/>
          </w:tcPr>
          <w:p w14:paraId="27FED938"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0.91</w:t>
            </w:r>
          </w:p>
        </w:tc>
      </w:tr>
      <w:tr w:rsidR="00112FED" w:rsidRPr="00112FED" w14:paraId="062BB3EA" w14:textId="77777777" w:rsidTr="00D94EA1">
        <w:tc>
          <w:tcPr>
            <w:tcW w:w="2942" w:type="dxa"/>
          </w:tcPr>
          <w:p w14:paraId="0B4A3AE6"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38 “Consejo Nacional de Ciencia y Tecnología”</w:t>
            </w:r>
          </w:p>
        </w:tc>
        <w:tc>
          <w:tcPr>
            <w:tcW w:w="2943" w:type="dxa"/>
          </w:tcPr>
          <w:p w14:paraId="39C2456C"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 xml:space="preserve">3° trimestre 2019 </w:t>
            </w:r>
          </w:p>
        </w:tc>
        <w:tc>
          <w:tcPr>
            <w:tcW w:w="2943" w:type="dxa"/>
          </w:tcPr>
          <w:p w14:paraId="6CEE1F17"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0.90</w:t>
            </w:r>
          </w:p>
        </w:tc>
      </w:tr>
    </w:tbl>
    <w:p w14:paraId="3667108D" w14:textId="77777777" w:rsidR="000B2628" w:rsidRDefault="000B2628" w:rsidP="00112FED">
      <w:pPr>
        <w:spacing w:after="200" w:line="276" w:lineRule="auto"/>
        <w:jc w:val="both"/>
        <w:rPr>
          <w:rFonts w:ascii="Times New Roman" w:eastAsia="Calibri" w:hAnsi="Times New Roman" w:cs="Times New Roman"/>
          <w:lang w:val="es-MX" w:eastAsia="en-US"/>
        </w:rPr>
      </w:pPr>
    </w:p>
    <w:p w14:paraId="3BCD1FDF" w14:textId="77777777" w:rsidR="000B2628" w:rsidRDefault="000B2628" w:rsidP="00112FED">
      <w:pPr>
        <w:spacing w:after="200" w:line="276" w:lineRule="auto"/>
        <w:jc w:val="both"/>
        <w:rPr>
          <w:rFonts w:ascii="Times New Roman" w:eastAsia="Calibri" w:hAnsi="Times New Roman" w:cs="Times New Roman"/>
          <w:lang w:val="es-MX" w:eastAsia="en-US"/>
        </w:rPr>
      </w:pPr>
    </w:p>
    <w:p w14:paraId="5A5B7207" w14:textId="77777777" w:rsidR="000B2628" w:rsidRDefault="000B2628" w:rsidP="00112FED">
      <w:pPr>
        <w:spacing w:after="200" w:line="276" w:lineRule="auto"/>
        <w:jc w:val="both"/>
        <w:rPr>
          <w:rFonts w:ascii="Times New Roman" w:eastAsia="Calibri" w:hAnsi="Times New Roman" w:cs="Times New Roman"/>
          <w:lang w:val="es-MX" w:eastAsia="en-US"/>
        </w:rPr>
      </w:pPr>
    </w:p>
    <w:p w14:paraId="024E10C3" w14:textId="77777777" w:rsidR="000B2628" w:rsidRDefault="000B2628" w:rsidP="00112FED">
      <w:pPr>
        <w:spacing w:after="200" w:line="276" w:lineRule="auto"/>
        <w:jc w:val="both"/>
        <w:rPr>
          <w:rFonts w:ascii="Times New Roman" w:eastAsia="Calibri" w:hAnsi="Times New Roman" w:cs="Times New Roman"/>
          <w:lang w:val="es-MX" w:eastAsia="en-US"/>
        </w:rPr>
      </w:pPr>
    </w:p>
    <w:p w14:paraId="39D7736E" w14:textId="013250B0" w:rsidR="00112FED" w:rsidRPr="00112FED" w:rsidRDefault="00112FED" w:rsidP="00112FED">
      <w:pPr>
        <w:spacing w:after="200" w:line="276" w:lineRule="auto"/>
        <w:jc w:val="both"/>
        <w:rPr>
          <w:rFonts w:ascii="Times New Roman" w:eastAsia="Calibri" w:hAnsi="Times New Roman" w:cs="Times New Roman"/>
          <w:lang w:val="es-MX" w:eastAsia="en-US"/>
        </w:rPr>
      </w:pPr>
      <w:r w:rsidRPr="00112FED">
        <w:rPr>
          <w:rFonts w:ascii="Times New Roman" w:eastAsia="Calibri" w:hAnsi="Times New Roman" w:cs="Times New Roman"/>
          <w:lang w:val="es-MX" w:eastAsia="en-US"/>
        </w:rPr>
        <w:lastRenderedPageBreak/>
        <w:t>Con estos resultados, el CONACYT se posicionó en el 3° lugar de un total de 29 Ramos que componen a la APF</w:t>
      </w:r>
    </w:p>
    <w:tbl>
      <w:tblPr>
        <w:tblStyle w:val="Tablaconcuadrcula1"/>
        <w:tblW w:w="0" w:type="auto"/>
        <w:tblLook w:val="04A0" w:firstRow="1" w:lastRow="0" w:firstColumn="1" w:lastColumn="0" w:noHBand="0" w:noVBand="1"/>
      </w:tblPr>
      <w:tblGrid>
        <w:gridCol w:w="2540"/>
        <w:gridCol w:w="3190"/>
        <w:gridCol w:w="3098"/>
      </w:tblGrid>
      <w:tr w:rsidR="00112FED" w:rsidRPr="00112FED" w14:paraId="4584B2B8" w14:textId="77777777" w:rsidTr="00112FED">
        <w:tc>
          <w:tcPr>
            <w:tcW w:w="2540" w:type="dxa"/>
            <w:shd w:val="clear" w:color="auto" w:fill="8DB3E2"/>
          </w:tcPr>
          <w:p w14:paraId="197404D3" w14:textId="77777777" w:rsidR="00112FED" w:rsidRPr="00112FED" w:rsidRDefault="00112FED" w:rsidP="00112FED">
            <w:pPr>
              <w:jc w:val="center"/>
              <w:rPr>
                <w:rFonts w:ascii="Times New Roman" w:hAnsi="Times New Roman" w:cs="Times New Roman"/>
                <w:sz w:val="24"/>
                <w:szCs w:val="24"/>
              </w:rPr>
            </w:pPr>
            <w:r w:rsidRPr="00112FED">
              <w:rPr>
                <w:rFonts w:ascii="Times New Roman" w:hAnsi="Times New Roman" w:cs="Times New Roman"/>
                <w:sz w:val="24"/>
                <w:szCs w:val="24"/>
              </w:rPr>
              <w:t>POSICIÓN</w:t>
            </w:r>
          </w:p>
        </w:tc>
        <w:tc>
          <w:tcPr>
            <w:tcW w:w="3190" w:type="dxa"/>
            <w:shd w:val="clear" w:color="auto" w:fill="8DB3E2"/>
          </w:tcPr>
          <w:p w14:paraId="12E9DF88" w14:textId="77777777" w:rsidR="00112FED" w:rsidRPr="00112FED" w:rsidRDefault="00112FED" w:rsidP="00112FED">
            <w:pPr>
              <w:jc w:val="center"/>
              <w:rPr>
                <w:rFonts w:ascii="Times New Roman" w:hAnsi="Times New Roman" w:cs="Times New Roman"/>
                <w:sz w:val="24"/>
                <w:szCs w:val="24"/>
              </w:rPr>
            </w:pPr>
            <w:r w:rsidRPr="00112FED">
              <w:rPr>
                <w:rFonts w:ascii="Times New Roman" w:hAnsi="Times New Roman" w:cs="Times New Roman"/>
                <w:sz w:val="24"/>
                <w:szCs w:val="24"/>
              </w:rPr>
              <w:t>RAMO</w:t>
            </w:r>
          </w:p>
        </w:tc>
        <w:tc>
          <w:tcPr>
            <w:tcW w:w="3098" w:type="dxa"/>
            <w:shd w:val="clear" w:color="auto" w:fill="8DB3E2"/>
          </w:tcPr>
          <w:p w14:paraId="313125D2" w14:textId="77777777" w:rsidR="00112FED" w:rsidRPr="00112FED" w:rsidRDefault="00112FED" w:rsidP="00112FED">
            <w:pPr>
              <w:jc w:val="center"/>
              <w:rPr>
                <w:rFonts w:ascii="Times New Roman" w:hAnsi="Times New Roman" w:cs="Times New Roman"/>
                <w:sz w:val="24"/>
                <w:szCs w:val="24"/>
              </w:rPr>
            </w:pPr>
            <w:r w:rsidRPr="00112FED">
              <w:rPr>
                <w:rFonts w:ascii="Times New Roman" w:hAnsi="Times New Roman" w:cs="Times New Roman"/>
                <w:sz w:val="24"/>
                <w:szCs w:val="24"/>
              </w:rPr>
              <w:t>CALIFICACIÓN</w:t>
            </w:r>
          </w:p>
        </w:tc>
      </w:tr>
      <w:tr w:rsidR="00112FED" w:rsidRPr="00112FED" w14:paraId="2D41A5D5" w14:textId="77777777" w:rsidTr="00D94EA1">
        <w:tc>
          <w:tcPr>
            <w:tcW w:w="2540" w:type="dxa"/>
          </w:tcPr>
          <w:p w14:paraId="0EC916FC"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1</w:t>
            </w:r>
          </w:p>
        </w:tc>
        <w:tc>
          <w:tcPr>
            <w:tcW w:w="3190" w:type="dxa"/>
          </w:tcPr>
          <w:p w14:paraId="538388BA"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25.- Previsiones y Aportaciones para los Sistemas de Educación Básica, Normal, Tecnológica y de Adultos</w:t>
            </w:r>
          </w:p>
        </w:tc>
        <w:tc>
          <w:tcPr>
            <w:tcW w:w="3098" w:type="dxa"/>
          </w:tcPr>
          <w:p w14:paraId="782136D6"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0.94</w:t>
            </w:r>
          </w:p>
        </w:tc>
      </w:tr>
      <w:tr w:rsidR="00112FED" w:rsidRPr="00112FED" w14:paraId="292DBE75" w14:textId="77777777" w:rsidTr="00D94EA1">
        <w:tc>
          <w:tcPr>
            <w:tcW w:w="2540" w:type="dxa"/>
          </w:tcPr>
          <w:p w14:paraId="4A839A0B"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2</w:t>
            </w:r>
          </w:p>
        </w:tc>
        <w:tc>
          <w:tcPr>
            <w:tcW w:w="3190" w:type="dxa"/>
          </w:tcPr>
          <w:p w14:paraId="35B984A5"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7.- Defensa Nacional</w:t>
            </w:r>
          </w:p>
        </w:tc>
        <w:tc>
          <w:tcPr>
            <w:tcW w:w="3098" w:type="dxa"/>
          </w:tcPr>
          <w:p w14:paraId="29226FF4"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0.90</w:t>
            </w:r>
          </w:p>
        </w:tc>
      </w:tr>
      <w:tr w:rsidR="00112FED" w:rsidRPr="00112FED" w14:paraId="70F36CE9" w14:textId="77777777" w:rsidTr="00D94EA1">
        <w:tc>
          <w:tcPr>
            <w:tcW w:w="2540" w:type="dxa"/>
            <w:shd w:val="clear" w:color="auto" w:fill="92D050"/>
          </w:tcPr>
          <w:p w14:paraId="5AF047AC"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3</w:t>
            </w:r>
          </w:p>
        </w:tc>
        <w:tc>
          <w:tcPr>
            <w:tcW w:w="3190" w:type="dxa"/>
            <w:shd w:val="clear" w:color="auto" w:fill="92D050"/>
          </w:tcPr>
          <w:p w14:paraId="4EFA8207"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 xml:space="preserve">38.-Consejo Nacional de Ciencia y Tecnología </w:t>
            </w:r>
          </w:p>
        </w:tc>
        <w:tc>
          <w:tcPr>
            <w:tcW w:w="3098" w:type="dxa"/>
            <w:shd w:val="clear" w:color="auto" w:fill="92D050"/>
          </w:tcPr>
          <w:p w14:paraId="7B5B19A3"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0.88</w:t>
            </w:r>
          </w:p>
        </w:tc>
      </w:tr>
      <w:tr w:rsidR="00112FED" w:rsidRPr="00112FED" w14:paraId="5B6FCC0A" w14:textId="77777777" w:rsidTr="00D94EA1">
        <w:tc>
          <w:tcPr>
            <w:tcW w:w="2540" w:type="dxa"/>
          </w:tcPr>
          <w:p w14:paraId="45A619A9"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4</w:t>
            </w:r>
          </w:p>
        </w:tc>
        <w:tc>
          <w:tcPr>
            <w:tcW w:w="3190" w:type="dxa"/>
          </w:tcPr>
          <w:p w14:paraId="10333B58"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50.- Instituto Mexicano del Seguro Social</w:t>
            </w:r>
          </w:p>
        </w:tc>
        <w:tc>
          <w:tcPr>
            <w:tcW w:w="3098" w:type="dxa"/>
          </w:tcPr>
          <w:p w14:paraId="1878555F"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0.87</w:t>
            </w:r>
          </w:p>
        </w:tc>
      </w:tr>
      <w:tr w:rsidR="00112FED" w:rsidRPr="00112FED" w14:paraId="645F11C3" w14:textId="77777777" w:rsidTr="00D94EA1">
        <w:tc>
          <w:tcPr>
            <w:tcW w:w="2540" w:type="dxa"/>
          </w:tcPr>
          <w:p w14:paraId="6AF3941D"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5</w:t>
            </w:r>
          </w:p>
        </w:tc>
        <w:tc>
          <w:tcPr>
            <w:tcW w:w="3190" w:type="dxa"/>
          </w:tcPr>
          <w:p w14:paraId="1D861FBD"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18.- Energía</w:t>
            </w:r>
          </w:p>
        </w:tc>
        <w:tc>
          <w:tcPr>
            <w:tcW w:w="3098" w:type="dxa"/>
          </w:tcPr>
          <w:p w14:paraId="3D7C4B3C"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0.86</w:t>
            </w:r>
          </w:p>
        </w:tc>
      </w:tr>
      <w:tr w:rsidR="00112FED" w:rsidRPr="00112FED" w14:paraId="131AAFDE" w14:textId="77777777" w:rsidTr="00D94EA1">
        <w:tc>
          <w:tcPr>
            <w:tcW w:w="2540" w:type="dxa"/>
          </w:tcPr>
          <w:p w14:paraId="2E39654B"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6</w:t>
            </w:r>
          </w:p>
        </w:tc>
        <w:tc>
          <w:tcPr>
            <w:tcW w:w="3190" w:type="dxa"/>
          </w:tcPr>
          <w:p w14:paraId="6AEFC6F5"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 xml:space="preserve">51.- Instituto de Seguridad y Servicios Sociales de los Trabajadores del Estado </w:t>
            </w:r>
          </w:p>
        </w:tc>
        <w:tc>
          <w:tcPr>
            <w:tcW w:w="3098" w:type="dxa"/>
          </w:tcPr>
          <w:p w14:paraId="0BB0A79C"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0.85</w:t>
            </w:r>
          </w:p>
        </w:tc>
      </w:tr>
      <w:tr w:rsidR="00112FED" w:rsidRPr="00112FED" w14:paraId="3BA71E73" w14:textId="77777777" w:rsidTr="00D94EA1">
        <w:tc>
          <w:tcPr>
            <w:tcW w:w="2540" w:type="dxa"/>
          </w:tcPr>
          <w:p w14:paraId="01D980DD"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7</w:t>
            </w:r>
          </w:p>
        </w:tc>
        <w:tc>
          <w:tcPr>
            <w:tcW w:w="3190" w:type="dxa"/>
          </w:tcPr>
          <w:p w14:paraId="10314E05"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8.- Agricultura, Ganadería, Desarrollo Rural, Pesca y Alimentación</w:t>
            </w:r>
          </w:p>
        </w:tc>
        <w:tc>
          <w:tcPr>
            <w:tcW w:w="3098" w:type="dxa"/>
          </w:tcPr>
          <w:p w14:paraId="4E8ABDFB"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0.84</w:t>
            </w:r>
          </w:p>
        </w:tc>
      </w:tr>
      <w:tr w:rsidR="00112FED" w:rsidRPr="00112FED" w14:paraId="1A3632DA" w14:textId="77777777" w:rsidTr="00D94EA1">
        <w:tc>
          <w:tcPr>
            <w:tcW w:w="2540" w:type="dxa"/>
          </w:tcPr>
          <w:p w14:paraId="1547FA92"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8</w:t>
            </w:r>
          </w:p>
        </w:tc>
        <w:tc>
          <w:tcPr>
            <w:tcW w:w="3190" w:type="dxa"/>
          </w:tcPr>
          <w:p w14:paraId="05646FE2"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12.- Salud</w:t>
            </w:r>
          </w:p>
        </w:tc>
        <w:tc>
          <w:tcPr>
            <w:tcW w:w="3098" w:type="dxa"/>
          </w:tcPr>
          <w:p w14:paraId="7924F775"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0.83</w:t>
            </w:r>
          </w:p>
        </w:tc>
      </w:tr>
      <w:tr w:rsidR="00112FED" w:rsidRPr="00112FED" w14:paraId="583ABED9" w14:textId="77777777" w:rsidTr="00D94EA1">
        <w:tc>
          <w:tcPr>
            <w:tcW w:w="2540" w:type="dxa"/>
          </w:tcPr>
          <w:p w14:paraId="2C4985AD"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9</w:t>
            </w:r>
          </w:p>
        </w:tc>
        <w:tc>
          <w:tcPr>
            <w:tcW w:w="3190" w:type="dxa"/>
          </w:tcPr>
          <w:p w14:paraId="1B9A0555"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46.- Comisión Nacional de Hidrocarburos</w:t>
            </w:r>
          </w:p>
        </w:tc>
        <w:tc>
          <w:tcPr>
            <w:tcW w:w="3098" w:type="dxa"/>
          </w:tcPr>
          <w:p w14:paraId="7ECB4C4A"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0.83</w:t>
            </w:r>
          </w:p>
        </w:tc>
      </w:tr>
      <w:tr w:rsidR="00112FED" w:rsidRPr="00112FED" w14:paraId="54B27297" w14:textId="77777777" w:rsidTr="00D94EA1">
        <w:tc>
          <w:tcPr>
            <w:tcW w:w="2540" w:type="dxa"/>
          </w:tcPr>
          <w:p w14:paraId="60B8705C"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10</w:t>
            </w:r>
          </w:p>
        </w:tc>
        <w:tc>
          <w:tcPr>
            <w:tcW w:w="3190" w:type="dxa"/>
          </w:tcPr>
          <w:p w14:paraId="1EBB57FC"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14.- Trabajo y Previsión Social</w:t>
            </w:r>
          </w:p>
        </w:tc>
        <w:tc>
          <w:tcPr>
            <w:tcW w:w="3098" w:type="dxa"/>
          </w:tcPr>
          <w:p w14:paraId="142B1ADE"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0.83</w:t>
            </w:r>
          </w:p>
        </w:tc>
      </w:tr>
      <w:tr w:rsidR="00112FED" w:rsidRPr="00112FED" w14:paraId="4FAEE385" w14:textId="77777777" w:rsidTr="00D94EA1">
        <w:tc>
          <w:tcPr>
            <w:tcW w:w="2540" w:type="dxa"/>
          </w:tcPr>
          <w:p w14:paraId="5CE2F0AE"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11</w:t>
            </w:r>
          </w:p>
        </w:tc>
        <w:tc>
          <w:tcPr>
            <w:tcW w:w="3190" w:type="dxa"/>
          </w:tcPr>
          <w:p w14:paraId="09383DA6"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47.- Entidades no Sectorizadas</w:t>
            </w:r>
          </w:p>
        </w:tc>
        <w:tc>
          <w:tcPr>
            <w:tcW w:w="3098" w:type="dxa"/>
          </w:tcPr>
          <w:p w14:paraId="4DA1B523"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0.83</w:t>
            </w:r>
          </w:p>
        </w:tc>
      </w:tr>
      <w:tr w:rsidR="00112FED" w:rsidRPr="00112FED" w14:paraId="41EBF1B4" w14:textId="77777777" w:rsidTr="00D94EA1">
        <w:tc>
          <w:tcPr>
            <w:tcW w:w="2540" w:type="dxa"/>
          </w:tcPr>
          <w:p w14:paraId="035B3D10"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12</w:t>
            </w:r>
          </w:p>
        </w:tc>
        <w:tc>
          <w:tcPr>
            <w:tcW w:w="3190" w:type="dxa"/>
          </w:tcPr>
          <w:p w14:paraId="5E4236D3"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4.- Gobernación</w:t>
            </w:r>
          </w:p>
        </w:tc>
        <w:tc>
          <w:tcPr>
            <w:tcW w:w="3098" w:type="dxa"/>
          </w:tcPr>
          <w:p w14:paraId="2D3E1658"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0.82</w:t>
            </w:r>
          </w:p>
        </w:tc>
      </w:tr>
      <w:tr w:rsidR="00112FED" w:rsidRPr="00112FED" w14:paraId="0F32C9D8" w14:textId="77777777" w:rsidTr="00D94EA1">
        <w:tc>
          <w:tcPr>
            <w:tcW w:w="2540" w:type="dxa"/>
          </w:tcPr>
          <w:p w14:paraId="13A46806"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13</w:t>
            </w:r>
          </w:p>
        </w:tc>
        <w:tc>
          <w:tcPr>
            <w:tcW w:w="3190" w:type="dxa"/>
          </w:tcPr>
          <w:p w14:paraId="25377BA8"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21.- Turismo</w:t>
            </w:r>
          </w:p>
        </w:tc>
        <w:tc>
          <w:tcPr>
            <w:tcW w:w="3098" w:type="dxa"/>
          </w:tcPr>
          <w:p w14:paraId="5C8FAED3"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0.82</w:t>
            </w:r>
          </w:p>
        </w:tc>
      </w:tr>
      <w:tr w:rsidR="00112FED" w:rsidRPr="00112FED" w14:paraId="3EFC8740" w14:textId="77777777" w:rsidTr="00D94EA1">
        <w:tc>
          <w:tcPr>
            <w:tcW w:w="2540" w:type="dxa"/>
          </w:tcPr>
          <w:p w14:paraId="2A761A3E"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14</w:t>
            </w:r>
          </w:p>
        </w:tc>
        <w:tc>
          <w:tcPr>
            <w:tcW w:w="3190" w:type="dxa"/>
          </w:tcPr>
          <w:p w14:paraId="0FD98DE6"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5.- Relaciones Exteriores</w:t>
            </w:r>
          </w:p>
        </w:tc>
        <w:tc>
          <w:tcPr>
            <w:tcW w:w="3098" w:type="dxa"/>
          </w:tcPr>
          <w:p w14:paraId="28256E13" w14:textId="77777777" w:rsidR="00112FED" w:rsidRPr="00112FED" w:rsidRDefault="00112FED" w:rsidP="00112FED">
            <w:pPr>
              <w:tabs>
                <w:tab w:val="left" w:pos="870"/>
              </w:tabs>
              <w:jc w:val="both"/>
              <w:rPr>
                <w:rFonts w:ascii="Times New Roman" w:hAnsi="Times New Roman" w:cs="Times New Roman"/>
                <w:sz w:val="24"/>
                <w:szCs w:val="24"/>
              </w:rPr>
            </w:pPr>
            <w:r w:rsidRPr="00112FED">
              <w:rPr>
                <w:rFonts w:ascii="Times New Roman" w:hAnsi="Times New Roman" w:cs="Times New Roman"/>
                <w:sz w:val="24"/>
                <w:szCs w:val="24"/>
              </w:rPr>
              <w:t>0.82</w:t>
            </w:r>
          </w:p>
        </w:tc>
      </w:tr>
      <w:tr w:rsidR="00112FED" w:rsidRPr="00112FED" w14:paraId="686C359D" w14:textId="77777777" w:rsidTr="00D94EA1">
        <w:tc>
          <w:tcPr>
            <w:tcW w:w="2540" w:type="dxa"/>
          </w:tcPr>
          <w:p w14:paraId="78DD6C80"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15</w:t>
            </w:r>
          </w:p>
        </w:tc>
        <w:tc>
          <w:tcPr>
            <w:tcW w:w="3190" w:type="dxa"/>
          </w:tcPr>
          <w:p w14:paraId="61986AED"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6.- Hacienda y Crédito Público</w:t>
            </w:r>
          </w:p>
        </w:tc>
        <w:tc>
          <w:tcPr>
            <w:tcW w:w="3098" w:type="dxa"/>
          </w:tcPr>
          <w:p w14:paraId="2F4AECD3"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0.82</w:t>
            </w:r>
          </w:p>
        </w:tc>
      </w:tr>
      <w:tr w:rsidR="00112FED" w:rsidRPr="00112FED" w14:paraId="6BF67A19" w14:textId="77777777" w:rsidTr="00D94EA1">
        <w:tc>
          <w:tcPr>
            <w:tcW w:w="2540" w:type="dxa"/>
          </w:tcPr>
          <w:p w14:paraId="1A51B582"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16</w:t>
            </w:r>
          </w:p>
        </w:tc>
        <w:tc>
          <w:tcPr>
            <w:tcW w:w="3190" w:type="dxa"/>
          </w:tcPr>
          <w:p w14:paraId="4BACFE2A"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19.- Aportaciones a Seguridad Social</w:t>
            </w:r>
          </w:p>
        </w:tc>
        <w:tc>
          <w:tcPr>
            <w:tcW w:w="3098" w:type="dxa"/>
          </w:tcPr>
          <w:p w14:paraId="469F651A"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0.81</w:t>
            </w:r>
          </w:p>
        </w:tc>
      </w:tr>
      <w:tr w:rsidR="00112FED" w:rsidRPr="00112FED" w14:paraId="43E7F886" w14:textId="77777777" w:rsidTr="00D94EA1">
        <w:tc>
          <w:tcPr>
            <w:tcW w:w="2540" w:type="dxa"/>
          </w:tcPr>
          <w:p w14:paraId="69B7013F"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17</w:t>
            </w:r>
          </w:p>
        </w:tc>
        <w:tc>
          <w:tcPr>
            <w:tcW w:w="3190" w:type="dxa"/>
          </w:tcPr>
          <w:p w14:paraId="2CB7CAF2"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10.- Economía</w:t>
            </w:r>
          </w:p>
        </w:tc>
        <w:tc>
          <w:tcPr>
            <w:tcW w:w="3098" w:type="dxa"/>
          </w:tcPr>
          <w:p w14:paraId="21F15F76"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0.81</w:t>
            </w:r>
          </w:p>
        </w:tc>
      </w:tr>
      <w:tr w:rsidR="00112FED" w:rsidRPr="00112FED" w14:paraId="15C45202" w14:textId="77777777" w:rsidTr="00D94EA1">
        <w:tc>
          <w:tcPr>
            <w:tcW w:w="2540" w:type="dxa"/>
          </w:tcPr>
          <w:p w14:paraId="35361189"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18</w:t>
            </w:r>
          </w:p>
        </w:tc>
        <w:tc>
          <w:tcPr>
            <w:tcW w:w="3190" w:type="dxa"/>
          </w:tcPr>
          <w:p w14:paraId="764B7AF9"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16.- Medio Ambiente y Recursos Naturales</w:t>
            </w:r>
          </w:p>
        </w:tc>
        <w:tc>
          <w:tcPr>
            <w:tcW w:w="3098" w:type="dxa"/>
          </w:tcPr>
          <w:p w14:paraId="48B9AA3A"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0.80</w:t>
            </w:r>
          </w:p>
        </w:tc>
      </w:tr>
      <w:tr w:rsidR="00112FED" w:rsidRPr="00112FED" w14:paraId="0CE20D04" w14:textId="77777777" w:rsidTr="00D94EA1">
        <w:tc>
          <w:tcPr>
            <w:tcW w:w="2540" w:type="dxa"/>
          </w:tcPr>
          <w:p w14:paraId="278ACF86"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19</w:t>
            </w:r>
          </w:p>
        </w:tc>
        <w:tc>
          <w:tcPr>
            <w:tcW w:w="3190" w:type="dxa"/>
          </w:tcPr>
          <w:p w14:paraId="13481562"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17.- Procuraduría General de la República</w:t>
            </w:r>
          </w:p>
        </w:tc>
        <w:tc>
          <w:tcPr>
            <w:tcW w:w="3098" w:type="dxa"/>
          </w:tcPr>
          <w:p w14:paraId="4F6911F0"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0.80</w:t>
            </w:r>
          </w:p>
        </w:tc>
      </w:tr>
      <w:tr w:rsidR="00112FED" w:rsidRPr="00112FED" w14:paraId="2C11C537" w14:textId="77777777" w:rsidTr="00D94EA1">
        <w:tc>
          <w:tcPr>
            <w:tcW w:w="2540" w:type="dxa"/>
          </w:tcPr>
          <w:p w14:paraId="571A0A59"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20</w:t>
            </w:r>
          </w:p>
        </w:tc>
        <w:tc>
          <w:tcPr>
            <w:tcW w:w="3190" w:type="dxa"/>
          </w:tcPr>
          <w:p w14:paraId="1D0BE581"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48.- Cultura</w:t>
            </w:r>
          </w:p>
        </w:tc>
        <w:tc>
          <w:tcPr>
            <w:tcW w:w="3098" w:type="dxa"/>
          </w:tcPr>
          <w:p w14:paraId="6C70524A"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0.79</w:t>
            </w:r>
          </w:p>
        </w:tc>
      </w:tr>
      <w:tr w:rsidR="00112FED" w:rsidRPr="00112FED" w14:paraId="6BD04698" w14:textId="77777777" w:rsidTr="00D94EA1">
        <w:tc>
          <w:tcPr>
            <w:tcW w:w="2540" w:type="dxa"/>
          </w:tcPr>
          <w:p w14:paraId="40C78AD9"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21</w:t>
            </w:r>
          </w:p>
        </w:tc>
        <w:tc>
          <w:tcPr>
            <w:tcW w:w="3190" w:type="dxa"/>
          </w:tcPr>
          <w:p w14:paraId="422685B1"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27.- Función Pública</w:t>
            </w:r>
          </w:p>
        </w:tc>
        <w:tc>
          <w:tcPr>
            <w:tcW w:w="3098" w:type="dxa"/>
          </w:tcPr>
          <w:p w14:paraId="5AE3AF7D"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0.78</w:t>
            </w:r>
          </w:p>
        </w:tc>
      </w:tr>
      <w:tr w:rsidR="00112FED" w:rsidRPr="00112FED" w14:paraId="78320D47" w14:textId="77777777" w:rsidTr="00D94EA1">
        <w:tc>
          <w:tcPr>
            <w:tcW w:w="2540" w:type="dxa"/>
          </w:tcPr>
          <w:p w14:paraId="30311C8C"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22</w:t>
            </w:r>
          </w:p>
        </w:tc>
        <w:tc>
          <w:tcPr>
            <w:tcW w:w="3190" w:type="dxa"/>
          </w:tcPr>
          <w:p w14:paraId="6720ECEA"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11.- Educación Pública</w:t>
            </w:r>
          </w:p>
        </w:tc>
        <w:tc>
          <w:tcPr>
            <w:tcW w:w="3098" w:type="dxa"/>
          </w:tcPr>
          <w:p w14:paraId="752DC6D7"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0.78</w:t>
            </w:r>
          </w:p>
        </w:tc>
      </w:tr>
      <w:tr w:rsidR="00112FED" w:rsidRPr="00112FED" w14:paraId="13C91B0C" w14:textId="77777777" w:rsidTr="00D94EA1">
        <w:tc>
          <w:tcPr>
            <w:tcW w:w="2540" w:type="dxa"/>
          </w:tcPr>
          <w:p w14:paraId="333461A4"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23</w:t>
            </w:r>
          </w:p>
        </w:tc>
        <w:tc>
          <w:tcPr>
            <w:tcW w:w="3190" w:type="dxa"/>
          </w:tcPr>
          <w:p w14:paraId="7B92AC5D"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45.- Comisión Reguladora de Energía</w:t>
            </w:r>
          </w:p>
        </w:tc>
        <w:tc>
          <w:tcPr>
            <w:tcW w:w="3098" w:type="dxa"/>
          </w:tcPr>
          <w:p w14:paraId="44EB592E"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0.76</w:t>
            </w:r>
          </w:p>
        </w:tc>
      </w:tr>
      <w:tr w:rsidR="00112FED" w:rsidRPr="00112FED" w14:paraId="354F20B6" w14:textId="77777777" w:rsidTr="00D94EA1">
        <w:tc>
          <w:tcPr>
            <w:tcW w:w="2540" w:type="dxa"/>
          </w:tcPr>
          <w:p w14:paraId="251F4CF7"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24</w:t>
            </w:r>
          </w:p>
        </w:tc>
        <w:tc>
          <w:tcPr>
            <w:tcW w:w="3190" w:type="dxa"/>
          </w:tcPr>
          <w:p w14:paraId="3CD85CA6"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20.- Desarrollo Social</w:t>
            </w:r>
          </w:p>
        </w:tc>
        <w:tc>
          <w:tcPr>
            <w:tcW w:w="3098" w:type="dxa"/>
          </w:tcPr>
          <w:p w14:paraId="536719A1"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0.75</w:t>
            </w:r>
          </w:p>
        </w:tc>
      </w:tr>
      <w:tr w:rsidR="00112FED" w:rsidRPr="00112FED" w14:paraId="6B4DCBE1" w14:textId="77777777" w:rsidTr="00D94EA1">
        <w:tc>
          <w:tcPr>
            <w:tcW w:w="2540" w:type="dxa"/>
          </w:tcPr>
          <w:p w14:paraId="37A6BD2F"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25</w:t>
            </w:r>
          </w:p>
        </w:tc>
        <w:tc>
          <w:tcPr>
            <w:tcW w:w="3190" w:type="dxa"/>
          </w:tcPr>
          <w:p w14:paraId="12B49077"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9.- Comunicaciones y Transportes</w:t>
            </w:r>
          </w:p>
        </w:tc>
        <w:tc>
          <w:tcPr>
            <w:tcW w:w="3098" w:type="dxa"/>
          </w:tcPr>
          <w:p w14:paraId="3416D749"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0.74</w:t>
            </w:r>
          </w:p>
        </w:tc>
      </w:tr>
      <w:tr w:rsidR="00112FED" w:rsidRPr="00112FED" w14:paraId="1AA35D22" w14:textId="77777777" w:rsidTr="00D94EA1">
        <w:tc>
          <w:tcPr>
            <w:tcW w:w="2540" w:type="dxa"/>
          </w:tcPr>
          <w:p w14:paraId="22937811"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lastRenderedPageBreak/>
              <w:t>26</w:t>
            </w:r>
          </w:p>
        </w:tc>
        <w:tc>
          <w:tcPr>
            <w:tcW w:w="3190" w:type="dxa"/>
          </w:tcPr>
          <w:p w14:paraId="0E71EB70"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31.- Tribunales Agrarios</w:t>
            </w:r>
          </w:p>
        </w:tc>
        <w:tc>
          <w:tcPr>
            <w:tcW w:w="3098" w:type="dxa"/>
          </w:tcPr>
          <w:p w14:paraId="4361D133"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0.73</w:t>
            </w:r>
          </w:p>
        </w:tc>
      </w:tr>
      <w:tr w:rsidR="00112FED" w:rsidRPr="00112FED" w14:paraId="1F51F07C" w14:textId="77777777" w:rsidTr="00D94EA1">
        <w:tc>
          <w:tcPr>
            <w:tcW w:w="2540" w:type="dxa"/>
          </w:tcPr>
          <w:p w14:paraId="08389F65"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27</w:t>
            </w:r>
          </w:p>
        </w:tc>
        <w:tc>
          <w:tcPr>
            <w:tcW w:w="3190" w:type="dxa"/>
          </w:tcPr>
          <w:p w14:paraId="7F47A873"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13.- Marina</w:t>
            </w:r>
          </w:p>
        </w:tc>
        <w:tc>
          <w:tcPr>
            <w:tcW w:w="3098" w:type="dxa"/>
          </w:tcPr>
          <w:p w14:paraId="7B163DE8"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0.68</w:t>
            </w:r>
          </w:p>
        </w:tc>
      </w:tr>
      <w:tr w:rsidR="00112FED" w:rsidRPr="00112FED" w14:paraId="42B20BE5" w14:textId="77777777" w:rsidTr="00D94EA1">
        <w:tc>
          <w:tcPr>
            <w:tcW w:w="2540" w:type="dxa"/>
          </w:tcPr>
          <w:p w14:paraId="25837A9F"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28</w:t>
            </w:r>
          </w:p>
        </w:tc>
        <w:tc>
          <w:tcPr>
            <w:tcW w:w="3190" w:type="dxa"/>
          </w:tcPr>
          <w:p w14:paraId="4003FABB"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15.- Desarrollo Agrario, Territorial y Urbano</w:t>
            </w:r>
          </w:p>
        </w:tc>
        <w:tc>
          <w:tcPr>
            <w:tcW w:w="3098" w:type="dxa"/>
          </w:tcPr>
          <w:p w14:paraId="73B6B105"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0.67</w:t>
            </w:r>
          </w:p>
        </w:tc>
      </w:tr>
      <w:tr w:rsidR="00112FED" w:rsidRPr="00112FED" w14:paraId="6EA1543E" w14:textId="77777777" w:rsidTr="00D94EA1">
        <w:tc>
          <w:tcPr>
            <w:tcW w:w="2540" w:type="dxa"/>
          </w:tcPr>
          <w:p w14:paraId="437F2C6E"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29</w:t>
            </w:r>
          </w:p>
        </w:tc>
        <w:tc>
          <w:tcPr>
            <w:tcW w:w="3190" w:type="dxa"/>
          </w:tcPr>
          <w:p w14:paraId="00D84272"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23.- Provisiones Salariales y Económicas</w:t>
            </w:r>
          </w:p>
        </w:tc>
        <w:tc>
          <w:tcPr>
            <w:tcW w:w="3098" w:type="dxa"/>
          </w:tcPr>
          <w:p w14:paraId="0379B1A9" w14:textId="77777777" w:rsidR="00112FED" w:rsidRPr="00112FED" w:rsidRDefault="00112FED" w:rsidP="00112FED">
            <w:pPr>
              <w:jc w:val="both"/>
              <w:rPr>
                <w:rFonts w:ascii="Times New Roman" w:hAnsi="Times New Roman" w:cs="Times New Roman"/>
                <w:sz w:val="24"/>
                <w:szCs w:val="24"/>
              </w:rPr>
            </w:pPr>
            <w:r w:rsidRPr="00112FED">
              <w:rPr>
                <w:rFonts w:ascii="Times New Roman" w:hAnsi="Times New Roman" w:cs="Times New Roman"/>
                <w:sz w:val="24"/>
                <w:szCs w:val="24"/>
              </w:rPr>
              <w:t>0.67</w:t>
            </w:r>
          </w:p>
        </w:tc>
      </w:tr>
    </w:tbl>
    <w:p w14:paraId="64E529AC" w14:textId="77777777" w:rsidR="00112FED" w:rsidRPr="00112FED" w:rsidRDefault="00112FED" w:rsidP="00112FED">
      <w:pPr>
        <w:spacing w:after="200" w:line="276" w:lineRule="auto"/>
        <w:jc w:val="both"/>
        <w:rPr>
          <w:rFonts w:ascii="Times New Roman" w:eastAsia="Calibri" w:hAnsi="Times New Roman" w:cs="Times New Roman"/>
          <w:lang w:val="es-MX" w:eastAsia="en-US"/>
        </w:rPr>
      </w:pPr>
    </w:p>
    <w:p w14:paraId="467C8566" w14:textId="77777777" w:rsidR="00112FED" w:rsidRPr="00112FED" w:rsidRDefault="00112FED" w:rsidP="00112FED">
      <w:pPr>
        <w:spacing w:after="200" w:line="276" w:lineRule="auto"/>
        <w:jc w:val="both"/>
        <w:rPr>
          <w:rFonts w:ascii="Times New Roman" w:eastAsia="Calibri" w:hAnsi="Times New Roman" w:cs="Times New Roman"/>
          <w:lang w:val="es-MX" w:eastAsia="en-US"/>
        </w:rPr>
      </w:pPr>
    </w:p>
    <w:p w14:paraId="321672B2" w14:textId="77777777" w:rsidR="00112FED" w:rsidRPr="00112FED" w:rsidRDefault="00112FED" w:rsidP="00112FED">
      <w:pPr>
        <w:spacing w:after="200" w:line="276" w:lineRule="auto"/>
        <w:jc w:val="both"/>
        <w:rPr>
          <w:rFonts w:ascii="Calibri" w:eastAsia="Calibri" w:hAnsi="Calibri" w:cs="Times New Roman"/>
          <w:sz w:val="22"/>
          <w:szCs w:val="22"/>
          <w:lang w:val="es-MX" w:eastAsia="en-US"/>
        </w:rPr>
      </w:pPr>
    </w:p>
    <w:p w14:paraId="67BE50D3" w14:textId="77777777" w:rsidR="006E2A42" w:rsidRPr="004C64FF" w:rsidRDefault="006E2A42" w:rsidP="009573CD">
      <w:pPr>
        <w:jc w:val="center"/>
        <w:rPr>
          <w:rFonts w:ascii="Arial" w:hAnsi="Arial"/>
        </w:rPr>
      </w:pPr>
    </w:p>
    <w:sectPr w:rsidR="006E2A42" w:rsidRPr="004C64FF" w:rsidSect="00504D28">
      <w:headerReference w:type="default" r:id="rId15"/>
      <w:pgSz w:w="12240" w:h="15840"/>
      <w:pgMar w:top="226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DEBA2" w14:textId="77777777" w:rsidR="008D6723" w:rsidRDefault="008D6723" w:rsidP="005C6F62">
      <w:r>
        <w:separator/>
      </w:r>
    </w:p>
  </w:endnote>
  <w:endnote w:type="continuationSeparator" w:id="0">
    <w:p w14:paraId="48BB482A" w14:textId="77777777" w:rsidR="008D6723" w:rsidRDefault="008D6723" w:rsidP="005C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530BF" w14:textId="77777777" w:rsidR="008D6723" w:rsidRDefault="008D6723" w:rsidP="005C6F62">
      <w:r>
        <w:separator/>
      </w:r>
    </w:p>
  </w:footnote>
  <w:footnote w:type="continuationSeparator" w:id="0">
    <w:p w14:paraId="26755DB7" w14:textId="77777777" w:rsidR="008D6723" w:rsidRDefault="008D6723" w:rsidP="005C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F2995" w14:textId="0E0CCFA1" w:rsidR="005C6F62" w:rsidRDefault="003B277E">
    <w:pPr>
      <w:pStyle w:val="Encabezado"/>
    </w:pPr>
    <w:r>
      <w:rPr>
        <w:noProof/>
        <w:lang w:val="es-ES"/>
      </w:rPr>
      <w:drawing>
        <wp:anchor distT="0" distB="0" distL="114300" distR="114300" simplePos="0" relativeHeight="251658240" behindDoc="1" locked="0" layoutInCell="1" allowOverlap="1" wp14:anchorId="1C860219" wp14:editId="3F233398">
          <wp:simplePos x="0" y="0"/>
          <wp:positionH relativeFrom="column">
            <wp:posOffset>-915670</wp:posOffset>
          </wp:positionH>
          <wp:positionV relativeFrom="paragraph">
            <wp:posOffset>-480695</wp:posOffset>
          </wp:positionV>
          <wp:extent cx="7896094" cy="10085354"/>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Carta-CL.jpg"/>
                  <pic:cNvPicPr/>
                </pic:nvPicPr>
                <pic:blipFill>
                  <a:blip r:embed="rId1"/>
                  <a:stretch>
                    <a:fillRect/>
                  </a:stretch>
                </pic:blipFill>
                <pic:spPr>
                  <a:xfrm>
                    <a:off x="0" y="0"/>
                    <a:ext cx="7896094" cy="100853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B157A"/>
    <w:multiLevelType w:val="hybridMultilevel"/>
    <w:tmpl w:val="520AB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887B45"/>
    <w:multiLevelType w:val="hybridMultilevel"/>
    <w:tmpl w:val="9FD43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665D89"/>
    <w:multiLevelType w:val="hybridMultilevel"/>
    <w:tmpl w:val="95741AF4"/>
    <w:lvl w:ilvl="0" w:tplc="527A6F94">
      <w:start w:val="1"/>
      <w:numFmt w:val="lowerLetter"/>
      <w:lvlText w:val="%1)"/>
      <w:lvlJc w:val="left"/>
      <w:pPr>
        <w:ind w:left="1080" w:hanging="360"/>
      </w:pPr>
      <w:rPr>
        <w:rFonts w:asciiTheme="minorHAnsi" w:eastAsiaTheme="minorEastAsia" w:hAnsiTheme="minorHAnsi" w:cstheme="minorBidi"/>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6A144164"/>
    <w:multiLevelType w:val="hybridMultilevel"/>
    <w:tmpl w:val="DBCA72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62"/>
    <w:rsid w:val="00015AC1"/>
    <w:rsid w:val="000578CD"/>
    <w:rsid w:val="00075990"/>
    <w:rsid w:val="000A430A"/>
    <w:rsid w:val="000B2628"/>
    <w:rsid w:val="000F5462"/>
    <w:rsid w:val="00112FED"/>
    <w:rsid w:val="00171450"/>
    <w:rsid w:val="0018280B"/>
    <w:rsid w:val="0018471F"/>
    <w:rsid w:val="00186EE5"/>
    <w:rsid w:val="001B7EE0"/>
    <w:rsid w:val="001D53A0"/>
    <w:rsid w:val="001E0A72"/>
    <w:rsid w:val="001E48DF"/>
    <w:rsid w:val="00223307"/>
    <w:rsid w:val="00247BEB"/>
    <w:rsid w:val="00260434"/>
    <w:rsid w:val="00273E22"/>
    <w:rsid w:val="0027526A"/>
    <w:rsid w:val="002A1FF4"/>
    <w:rsid w:val="002B2827"/>
    <w:rsid w:val="002C42D6"/>
    <w:rsid w:val="002D2C06"/>
    <w:rsid w:val="002F0ACE"/>
    <w:rsid w:val="003067D8"/>
    <w:rsid w:val="003170C5"/>
    <w:rsid w:val="00352B60"/>
    <w:rsid w:val="003B277E"/>
    <w:rsid w:val="003D6C07"/>
    <w:rsid w:val="0041347D"/>
    <w:rsid w:val="00441FB5"/>
    <w:rsid w:val="00486C7F"/>
    <w:rsid w:val="004937AC"/>
    <w:rsid w:val="004A2B45"/>
    <w:rsid w:val="004C44FD"/>
    <w:rsid w:val="004C64FF"/>
    <w:rsid w:val="004E014F"/>
    <w:rsid w:val="00504D28"/>
    <w:rsid w:val="00506EDA"/>
    <w:rsid w:val="005868C4"/>
    <w:rsid w:val="005A6268"/>
    <w:rsid w:val="005C0F74"/>
    <w:rsid w:val="005C6F62"/>
    <w:rsid w:val="005F0366"/>
    <w:rsid w:val="0063494B"/>
    <w:rsid w:val="00636346"/>
    <w:rsid w:val="00653D2C"/>
    <w:rsid w:val="0065652B"/>
    <w:rsid w:val="00673B76"/>
    <w:rsid w:val="0069291B"/>
    <w:rsid w:val="00694019"/>
    <w:rsid w:val="006D0505"/>
    <w:rsid w:val="006D68C7"/>
    <w:rsid w:val="006E2A42"/>
    <w:rsid w:val="006E3B18"/>
    <w:rsid w:val="006E3E2D"/>
    <w:rsid w:val="007035A1"/>
    <w:rsid w:val="00733D2B"/>
    <w:rsid w:val="0084502E"/>
    <w:rsid w:val="008A1D3D"/>
    <w:rsid w:val="008D6723"/>
    <w:rsid w:val="0090066B"/>
    <w:rsid w:val="009409DA"/>
    <w:rsid w:val="009573CD"/>
    <w:rsid w:val="009F7C1A"/>
    <w:rsid w:val="00A00D9E"/>
    <w:rsid w:val="00A2293D"/>
    <w:rsid w:val="00A52753"/>
    <w:rsid w:val="00A71BED"/>
    <w:rsid w:val="00A833B3"/>
    <w:rsid w:val="00A90328"/>
    <w:rsid w:val="00AB7CF8"/>
    <w:rsid w:val="00AE17E8"/>
    <w:rsid w:val="00AE3F64"/>
    <w:rsid w:val="00AF20C7"/>
    <w:rsid w:val="00B0659B"/>
    <w:rsid w:val="00B16560"/>
    <w:rsid w:val="00BA188F"/>
    <w:rsid w:val="00BB011E"/>
    <w:rsid w:val="00C806D8"/>
    <w:rsid w:val="00C826A2"/>
    <w:rsid w:val="00C83E34"/>
    <w:rsid w:val="00CB575E"/>
    <w:rsid w:val="00D0789F"/>
    <w:rsid w:val="00D11947"/>
    <w:rsid w:val="00D15D3A"/>
    <w:rsid w:val="00D22747"/>
    <w:rsid w:val="00D30ED6"/>
    <w:rsid w:val="00D43EB6"/>
    <w:rsid w:val="00D81831"/>
    <w:rsid w:val="00D908FD"/>
    <w:rsid w:val="00DB2725"/>
    <w:rsid w:val="00DE7E26"/>
    <w:rsid w:val="00E03D15"/>
    <w:rsid w:val="00E14931"/>
    <w:rsid w:val="00E610D4"/>
    <w:rsid w:val="00E9134E"/>
    <w:rsid w:val="00F1112B"/>
    <w:rsid w:val="00FF6B3E"/>
    <w:rsid w:val="00FF7F7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2D1D91"/>
  <w14:defaultImageDpi w14:val="300"/>
  <w15:docId w15:val="{6A171EBB-9B88-7A49-992A-BB191DB7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F62"/>
    <w:pPr>
      <w:tabs>
        <w:tab w:val="center" w:pos="4252"/>
        <w:tab w:val="right" w:pos="8504"/>
      </w:tabs>
    </w:pPr>
  </w:style>
  <w:style w:type="character" w:customStyle="1" w:styleId="EncabezadoCar">
    <w:name w:val="Encabezado Car"/>
    <w:basedOn w:val="Fuentedeprrafopredeter"/>
    <w:link w:val="Encabezado"/>
    <w:uiPriority w:val="99"/>
    <w:rsid w:val="005C6F62"/>
  </w:style>
  <w:style w:type="paragraph" w:styleId="Piedepgina">
    <w:name w:val="footer"/>
    <w:basedOn w:val="Normal"/>
    <w:link w:val="PiedepginaCar"/>
    <w:uiPriority w:val="99"/>
    <w:unhideWhenUsed/>
    <w:rsid w:val="005C6F62"/>
    <w:pPr>
      <w:tabs>
        <w:tab w:val="center" w:pos="4252"/>
        <w:tab w:val="right" w:pos="8504"/>
      </w:tabs>
    </w:pPr>
  </w:style>
  <w:style w:type="character" w:customStyle="1" w:styleId="PiedepginaCar">
    <w:name w:val="Pie de página Car"/>
    <w:basedOn w:val="Fuentedeprrafopredeter"/>
    <w:link w:val="Piedepgina"/>
    <w:uiPriority w:val="99"/>
    <w:rsid w:val="005C6F62"/>
  </w:style>
  <w:style w:type="paragraph" w:styleId="Textodeglobo">
    <w:name w:val="Balloon Text"/>
    <w:basedOn w:val="Normal"/>
    <w:link w:val="TextodegloboCar"/>
    <w:uiPriority w:val="99"/>
    <w:semiHidden/>
    <w:unhideWhenUsed/>
    <w:rsid w:val="005C6F6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C6F62"/>
    <w:rPr>
      <w:rFonts w:ascii="Lucida Grande" w:hAnsi="Lucida Grande"/>
      <w:sz w:val="18"/>
      <w:szCs w:val="18"/>
    </w:rPr>
  </w:style>
  <w:style w:type="paragraph" w:styleId="Prrafodelista">
    <w:name w:val="List Paragraph"/>
    <w:basedOn w:val="Normal"/>
    <w:uiPriority w:val="34"/>
    <w:qFormat/>
    <w:rsid w:val="00A71BED"/>
    <w:pPr>
      <w:ind w:left="720"/>
      <w:contextualSpacing/>
    </w:pPr>
  </w:style>
  <w:style w:type="table" w:styleId="Tablaconcuadrcula">
    <w:name w:val="Table Grid"/>
    <w:basedOn w:val="Tablanormal"/>
    <w:uiPriority w:val="59"/>
    <w:rsid w:val="00636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12FED"/>
    <w:rPr>
      <w:rFonts w:eastAsia="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749594">
      <w:bodyDiv w:val="1"/>
      <w:marLeft w:val="0"/>
      <w:marRight w:val="0"/>
      <w:marTop w:val="0"/>
      <w:marBottom w:val="0"/>
      <w:divBdr>
        <w:top w:val="none" w:sz="0" w:space="0" w:color="auto"/>
        <w:left w:val="none" w:sz="0" w:space="0" w:color="auto"/>
        <w:bottom w:val="none" w:sz="0" w:space="0" w:color="auto"/>
        <w:right w:val="none" w:sz="0" w:space="0" w:color="auto"/>
      </w:divBdr>
    </w:div>
    <w:div w:id="1874877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4C36E1-5A11-494A-8AE4-915A809FE74B}"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s-ES"/>
        </a:p>
      </dgm:t>
    </dgm:pt>
    <dgm:pt modelId="{B65636EB-C897-4264-BF2E-9D09ECE54C33}">
      <dgm:prSet phldrT="[Texto]"/>
      <dgm:spPr>
        <a:solidFill>
          <a:schemeClr val="accent5">
            <a:lumMod val="75000"/>
          </a:schemeClr>
        </a:solidFill>
      </dgm:spPr>
      <dgm:t>
        <a:bodyPr/>
        <a:lstStyle/>
        <a:p>
          <a:r>
            <a:rPr lang="es-ES"/>
            <a:t>4° trimestre 2018</a:t>
          </a:r>
        </a:p>
      </dgm:t>
    </dgm:pt>
    <dgm:pt modelId="{D217B701-71AD-48AE-BEF5-6840628148E6}" type="parTrans" cxnId="{2A20ED5B-6B14-4032-AAFB-BD5E683BDECD}">
      <dgm:prSet/>
      <dgm:spPr/>
      <dgm:t>
        <a:bodyPr/>
        <a:lstStyle/>
        <a:p>
          <a:endParaRPr lang="es-ES"/>
        </a:p>
      </dgm:t>
    </dgm:pt>
    <dgm:pt modelId="{B33895B1-D77B-407A-866D-3F08B89EFCF1}" type="sibTrans" cxnId="{2A20ED5B-6B14-4032-AAFB-BD5E683BDECD}">
      <dgm:prSet/>
      <dgm:spPr/>
      <dgm:t>
        <a:bodyPr/>
        <a:lstStyle/>
        <a:p>
          <a:endParaRPr lang="es-ES"/>
        </a:p>
      </dgm:t>
    </dgm:pt>
    <dgm:pt modelId="{531BDADA-B974-40AC-8785-396C0C0257B9}">
      <dgm:prSet phldrT="[Texto]"/>
      <dgm:spPr/>
      <dgm:t>
        <a:bodyPr/>
        <a:lstStyle/>
        <a:p>
          <a:r>
            <a:rPr lang="es-ES"/>
            <a:t>Porcentaje de cumplimento de metas de programas de CONACYT en el 4° trimestre 2018: 73.33%</a:t>
          </a:r>
        </a:p>
      </dgm:t>
    </dgm:pt>
    <dgm:pt modelId="{6CFCD462-1FD6-4588-AA96-DF9121B8443A}" type="parTrans" cxnId="{9986158E-376F-4B0B-9694-30439ABC2223}">
      <dgm:prSet/>
      <dgm:spPr/>
      <dgm:t>
        <a:bodyPr/>
        <a:lstStyle/>
        <a:p>
          <a:endParaRPr lang="es-ES"/>
        </a:p>
      </dgm:t>
    </dgm:pt>
    <dgm:pt modelId="{D9B56D09-3281-4611-B5DC-5AEE90572F45}" type="sibTrans" cxnId="{9986158E-376F-4B0B-9694-30439ABC2223}">
      <dgm:prSet/>
      <dgm:spPr/>
      <dgm:t>
        <a:bodyPr/>
        <a:lstStyle/>
        <a:p>
          <a:endParaRPr lang="es-ES"/>
        </a:p>
      </dgm:t>
    </dgm:pt>
    <dgm:pt modelId="{BBF913E7-C7E3-45F0-B962-9B90989CB2F5}">
      <dgm:prSet phldrT="[Texto]"/>
      <dgm:spPr>
        <a:solidFill>
          <a:schemeClr val="accent2">
            <a:lumMod val="75000"/>
          </a:schemeClr>
        </a:solidFill>
      </dgm:spPr>
      <dgm:t>
        <a:bodyPr/>
        <a:lstStyle/>
        <a:p>
          <a:r>
            <a:rPr lang="es-ES"/>
            <a:t>4° trimestre 2019</a:t>
          </a:r>
        </a:p>
      </dgm:t>
    </dgm:pt>
    <dgm:pt modelId="{A31B4EFC-16C6-480B-99D9-FA1E82AEDAA9}" type="parTrans" cxnId="{FBBCF7C5-BF15-44F6-B628-B48647EABDBA}">
      <dgm:prSet/>
      <dgm:spPr/>
      <dgm:t>
        <a:bodyPr/>
        <a:lstStyle/>
        <a:p>
          <a:endParaRPr lang="es-ES"/>
        </a:p>
      </dgm:t>
    </dgm:pt>
    <dgm:pt modelId="{94B00BB4-B3B7-4A37-A29A-7E57346B0F6A}" type="sibTrans" cxnId="{FBBCF7C5-BF15-44F6-B628-B48647EABDBA}">
      <dgm:prSet/>
      <dgm:spPr/>
      <dgm:t>
        <a:bodyPr/>
        <a:lstStyle/>
        <a:p>
          <a:endParaRPr lang="es-ES"/>
        </a:p>
      </dgm:t>
    </dgm:pt>
    <dgm:pt modelId="{02D97026-F312-48A9-A3D3-8C5A074C8819}">
      <dgm:prSet phldrT="[Texto]"/>
      <dgm:spPr/>
      <dgm:t>
        <a:bodyPr/>
        <a:lstStyle/>
        <a:p>
          <a:r>
            <a:rPr lang="es-ES"/>
            <a:t>Porcentaje de cumplimento de metas de programas de CONACYT en el 4° trimestre 2019: 82.98%</a:t>
          </a:r>
        </a:p>
      </dgm:t>
    </dgm:pt>
    <dgm:pt modelId="{5F393014-DC25-40A9-8FC6-4AC3A9BD2179}" type="parTrans" cxnId="{576D9C1F-3B77-4DF4-A7EC-F31A4C0C28CF}">
      <dgm:prSet/>
      <dgm:spPr/>
      <dgm:t>
        <a:bodyPr/>
        <a:lstStyle/>
        <a:p>
          <a:endParaRPr lang="es-ES"/>
        </a:p>
      </dgm:t>
    </dgm:pt>
    <dgm:pt modelId="{C14C8AFA-6290-44DE-8A9A-792DB6BA2F5F}" type="sibTrans" cxnId="{576D9C1F-3B77-4DF4-A7EC-F31A4C0C28CF}">
      <dgm:prSet/>
      <dgm:spPr/>
      <dgm:t>
        <a:bodyPr/>
        <a:lstStyle/>
        <a:p>
          <a:endParaRPr lang="es-ES"/>
        </a:p>
      </dgm:t>
    </dgm:pt>
    <dgm:pt modelId="{E881A84F-7741-484F-AF2C-7C7C9E4313D3}">
      <dgm:prSet phldrT="[Texto]"/>
      <dgm:spPr>
        <a:solidFill>
          <a:srgbClr val="7030A0"/>
        </a:solidFill>
      </dgm:spPr>
      <dgm:t>
        <a:bodyPr/>
        <a:lstStyle/>
        <a:p>
          <a:r>
            <a:rPr lang="es-ES"/>
            <a:t>Comparativo</a:t>
          </a:r>
        </a:p>
      </dgm:t>
    </dgm:pt>
    <dgm:pt modelId="{58377236-1270-45B4-BFAC-1BC80EDA0B2D}" type="parTrans" cxnId="{28F29ED9-0308-4E3B-B54D-1C95243A7EE3}">
      <dgm:prSet/>
      <dgm:spPr/>
      <dgm:t>
        <a:bodyPr/>
        <a:lstStyle/>
        <a:p>
          <a:endParaRPr lang="es-ES"/>
        </a:p>
      </dgm:t>
    </dgm:pt>
    <dgm:pt modelId="{DAAA0945-038F-4D0C-A337-C5D27080B10B}" type="sibTrans" cxnId="{28F29ED9-0308-4E3B-B54D-1C95243A7EE3}">
      <dgm:prSet/>
      <dgm:spPr/>
      <dgm:t>
        <a:bodyPr/>
        <a:lstStyle/>
        <a:p>
          <a:endParaRPr lang="es-ES"/>
        </a:p>
      </dgm:t>
    </dgm:pt>
    <dgm:pt modelId="{7FE07A50-900D-47B9-BD62-95B762FF0A42}">
      <dgm:prSet phldrT="[Texto]"/>
      <dgm:spPr>
        <a:solidFill>
          <a:srgbClr val="92D050"/>
        </a:solidFill>
      </dgm:spPr>
      <dgm:t>
        <a:bodyPr/>
        <a:lstStyle/>
        <a:p>
          <a:r>
            <a:rPr lang="es-ES"/>
            <a:t>Incremento de cumplimento de metas de: 9.65%</a:t>
          </a:r>
        </a:p>
      </dgm:t>
    </dgm:pt>
    <dgm:pt modelId="{DBFC27F8-F19D-4AFA-AA2C-356C75096158}" type="parTrans" cxnId="{78B3816D-7326-4600-B1B0-BA94320328DE}">
      <dgm:prSet/>
      <dgm:spPr/>
      <dgm:t>
        <a:bodyPr/>
        <a:lstStyle/>
        <a:p>
          <a:endParaRPr lang="es-ES"/>
        </a:p>
      </dgm:t>
    </dgm:pt>
    <dgm:pt modelId="{AC38B233-6B60-4026-8058-EA7C554150E8}" type="sibTrans" cxnId="{78B3816D-7326-4600-B1B0-BA94320328DE}">
      <dgm:prSet/>
      <dgm:spPr/>
      <dgm:t>
        <a:bodyPr/>
        <a:lstStyle/>
        <a:p>
          <a:endParaRPr lang="es-ES"/>
        </a:p>
      </dgm:t>
    </dgm:pt>
    <dgm:pt modelId="{8D435323-0318-4801-882C-394E706292CD}" type="pres">
      <dgm:prSet presAssocID="{764C36E1-5A11-494A-8AE4-915A809FE74B}" presName="Name0" presStyleCnt="0">
        <dgm:presLayoutVars>
          <dgm:chMax val="5"/>
          <dgm:chPref val="5"/>
          <dgm:dir/>
          <dgm:animLvl val="lvl"/>
        </dgm:presLayoutVars>
      </dgm:prSet>
      <dgm:spPr/>
      <dgm:t>
        <a:bodyPr/>
        <a:lstStyle/>
        <a:p>
          <a:endParaRPr lang="es-ES"/>
        </a:p>
      </dgm:t>
    </dgm:pt>
    <dgm:pt modelId="{D73154B9-6861-42B2-90C8-782B293F1377}" type="pres">
      <dgm:prSet presAssocID="{B65636EB-C897-4264-BF2E-9D09ECE54C33}" presName="parentText1" presStyleLbl="node1" presStyleIdx="0" presStyleCnt="3">
        <dgm:presLayoutVars>
          <dgm:chMax/>
          <dgm:chPref val="3"/>
          <dgm:bulletEnabled val="1"/>
        </dgm:presLayoutVars>
      </dgm:prSet>
      <dgm:spPr/>
      <dgm:t>
        <a:bodyPr/>
        <a:lstStyle/>
        <a:p>
          <a:endParaRPr lang="es-ES"/>
        </a:p>
      </dgm:t>
    </dgm:pt>
    <dgm:pt modelId="{6D506720-5C3D-46BF-AF0D-AFCABDC79E84}" type="pres">
      <dgm:prSet presAssocID="{B65636EB-C897-4264-BF2E-9D09ECE54C33}" presName="childText1" presStyleLbl="solidAlignAcc1" presStyleIdx="0" presStyleCnt="3">
        <dgm:presLayoutVars>
          <dgm:chMax val="0"/>
          <dgm:chPref val="0"/>
          <dgm:bulletEnabled val="1"/>
        </dgm:presLayoutVars>
      </dgm:prSet>
      <dgm:spPr/>
      <dgm:t>
        <a:bodyPr/>
        <a:lstStyle/>
        <a:p>
          <a:endParaRPr lang="es-ES"/>
        </a:p>
      </dgm:t>
    </dgm:pt>
    <dgm:pt modelId="{628930BD-FD80-46E3-9B01-DBFEEA928DEC}" type="pres">
      <dgm:prSet presAssocID="{BBF913E7-C7E3-45F0-B962-9B90989CB2F5}" presName="parentText2" presStyleLbl="node1" presStyleIdx="1" presStyleCnt="3">
        <dgm:presLayoutVars>
          <dgm:chMax/>
          <dgm:chPref val="3"/>
          <dgm:bulletEnabled val="1"/>
        </dgm:presLayoutVars>
      </dgm:prSet>
      <dgm:spPr/>
      <dgm:t>
        <a:bodyPr/>
        <a:lstStyle/>
        <a:p>
          <a:endParaRPr lang="es-ES"/>
        </a:p>
      </dgm:t>
    </dgm:pt>
    <dgm:pt modelId="{D97474CF-167A-408F-9C03-0B346A3807B0}" type="pres">
      <dgm:prSet presAssocID="{BBF913E7-C7E3-45F0-B962-9B90989CB2F5}" presName="childText2" presStyleLbl="solidAlignAcc1" presStyleIdx="1" presStyleCnt="3">
        <dgm:presLayoutVars>
          <dgm:chMax val="0"/>
          <dgm:chPref val="0"/>
          <dgm:bulletEnabled val="1"/>
        </dgm:presLayoutVars>
      </dgm:prSet>
      <dgm:spPr/>
      <dgm:t>
        <a:bodyPr/>
        <a:lstStyle/>
        <a:p>
          <a:endParaRPr lang="es-ES"/>
        </a:p>
      </dgm:t>
    </dgm:pt>
    <dgm:pt modelId="{46806617-2EFB-4A0C-8430-ACA919AF0A86}" type="pres">
      <dgm:prSet presAssocID="{E881A84F-7741-484F-AF2C-7C7C9E4313D3}" presName="parentText3" presStyleLbl="node1" presStyleIdx="2" presStyleCnt="3">
        <dgm:presLayoutVars>
          <dgm:chMax/>
          <dgm:chPref val="3"/>
          <dgm:bulletEnabled val="1"/>
        </dgm:presLayoutVars>
      </dgm:prSet>
      <dgm:spPr/>
      <dgm:t>
        <a:bodyPr/>
        <a:lstStyle/>
        <a:p>
          <a:endParaRPr lang="es-ES"/>
        </a:p>
      </dgm:t>
    </dgm:pt>
    <dgm:pt modelId="{1E67DC2D-611C-4402-A929-CBE38E624FED}" type="pres">
      <dgm:prSet presAssocID="{E881A84F-7741-484F-AF2C-7C7C9E4313D3}" presName="childText3" presStyleLbl="solidAlignAcc1" presStyleIdx="2" presStyleCnt="3">
        <dgm:presLayoutVars>
          <dgm:chMax val="0"/>
          <dgm:chPref val="0"/>
          <dgm:bulletEnabled val="1"/>
        </dgm:presLayoutVars>
      </dgm:prSet>
      <dgm:spPr/>
      <dgm:t>
        <a:bodyPr/>
        <a:lstStyle/>
        <a:p>
          <a:endParaRPr lang="es-ES"/>
        </a:p>
      </dgm:t>
    </dgm:pt>
  </dgm:ptLst>
  <dgm:cxnLst>
    <dgm:cxn modelId="{DDFECEEE-3DCB-420C-BBC4-E3E591A1A33D}" type="presOf" srcId="{531BDADA-B974-40AC-8785-396C0C0257B9}" destId="{6D506720-5C3D-46BF-AF0D-AFCABDC79E84}" srcOrd="0" destOrd="0" presId="urn:microsoft.com/office/officeart/2009/3/layout/IncreasingArrowsProcess"/>
    <dgm:cxn modelId="{576D9C1F-3B77-4DF4-A7EC-F31A4C0C28CF}" srcId="{BBF913E7-C7E3-45F0-B962-9B90989CB2F5}" destId="{02D97026-F312-48A9-A3D3-8C5A074C8819}" srcOrd="0" destOrd="0" parTransId="{5F393014-DC25-40A9-8FC6-4AC3A9BD2179}" sibTransId="{C14C8AFA-6290-44DE-8A9A-792DB6BA2F5F}"/>
    <dgm:cxn modelId="{B2B58E18-7BCA-4934-A986-C4C7A05EF57D}" type="presOf" srcId="{BBF913E7-C7E3-45F0-B962-9B90989CB2F5}" destId="{628930BD-FD80-46E3-9B01-DBFEEA928DEC}" srcOrd="0" destOrd="0" presId="urn:microsoft.com/office/officeart/2009/3/layout/IncreasingArrowsProcess"/>
    <dgm:cxn modelId="{3378790B-A8BC-4AA1-B2A3-B71177A58332}" type="presOf" srcId="{764C36E1-5A11-494A-8AE4-915A809FE74B}" destId="{8D435323-0318-4801-882C-394E706292CD}" srcOrd="0" destOrd="0" presId="urn:microsoft.com/office/officeart/2009/3/layout/IncreasingArrowsProcess"/>
    <dgm:cxn modelId="{9986158E-376F-4B0B-9694-30439ABC2223}" srcId="{B65636EB-C897-4264-BF2E-9D09ECE54C33}" destId="{531BDADA-B974-40AC-8785-396C0C0257B9}" srcOrd="0" destOrd="0" parTransId="{6CFCD462-1FD6-4588-AA96-DF9121B8443A}" sibTransId="{D9B56D09-3281-4611-B5DC-5AEE90572F45}"/>
    <dgm:cxn modelId="{0C733471-849E-4864-A4D1-118777659DC3}" type="presOf" srcId="{02D97026-F312-48A9-A3D3-8C5A074C8819}" destId="{D97474CF-167A-408F-9C03-0B346A3807B0}" srcOrd="0" destOrd="0" presId="urn:microsoft.com/office/officeart/2009/3/layout/IncreasingArrowsProcess"/>
    <dgm:cxn modelId="{9F76767E-0B64-4225-9D5C-1E83E52944AA}" type="presOf" srcId="{B65636EB-C897-4264-BF2E-9D09ECE54C33}" destId="{D73154B9-6861-42B2-90C8-782B293F1377}" srcOrd="0" destOrd="0" presId="urn:microsoft.com/office/officeart/2009/3/layout/IncreasingArrowsProcess"/>
    <dgm:cxn modelId="{FBBCF7C5-BF15-44F6-B628-B48647EABDBA}" srcId="{764C36E1-5A11-494A-8AE4-915A809FE74B}" destId="{BBF913E7-C7E3-45F0-B962-9B90989CB2F5}" srcOrd="1" destOrd="0" parTransId="{A31B4EFC-16C6-480B-99D9-FA1E82AEDAA9}" sibTransId="{94B00BB4-B3B7-4A37-A29A-7E57346B0F6A}"/>
    <dgm:cxn modelId="{28F29ED9-0308-4E3B-B54D-1C95243A7EE3}" srcId="{764C36E1-5A11-494A-8AE4-915A809FE74B}" destId="{E881A84F-7741-484F-AF2C-7C7C9E4313D3}" srcOrd="2" destOrd="0" parTransId="{58377236-1270-45B4-BFAC-1BC80EDA0B2D}" sibTransId="{DAAA0945-038F-4D0C-A337-C5D27080B10B}"/>
    <dgm:cxn modelId="{B97B8A6B-18FA-4786-8569-ACEFDC3E6947}" type="presOf" srcId="{7FE07A50-900D-47B9-BD62-95B762FF0A42}" destId="{1E67DC2D-611C-4402-A929-CBE38E624FED}" srcOrd="0" destOrd="0" presId="urn:microsoft.com/office/officeart/2009/3/layout/IncreasingArrowsProcess"/>
    <dgm:cxn modelId="{78B3816D-7326-4600-B1B0-BA94320328DE}" srcId="{E881A84F-7741-484F-AF2C-7C7C9E4313D3}" destId="{7FE07A50-900D-47B9-BD62-95B762FF0A42}" srcOrd="0" destOrd="0" parTransId="{DBFC27F8-F19D-4AFA-AA2C-356C75096158}" sibTransId="{AC38B233-6B60-4026-8058-EA7C554150E8}"/>
    <dgm:cxn modelId="{32148ED6-A44C-4226-A4B4-7953E0FB1C8D}" type="presOf" srcId="{E881A84F-7741-484F-AF2C-7C7C9E4313D3}" destId="{46806617-2EFB-4A0C-8430-ACA919AF0A86}" srcOrd="0" destOrd="0" presId="urn:microsoft.com/office/officeart/2009/3/layout/IncreasingArrowsProcess"/>
    <dgm:cxn modelId="{2A20ED5B-6B14-4032-AAFB-BD5E683BDECD}" srcId="{764C36E1-5A11-494A-8AE4-915A809FE74B}" destId="{B65636EB-C897-4264-BF2E-9D09ECE54C33}" srcOrd="0" destOrd="0" parTransId="{D217B701-71AD-48AE-BEF5-6840628148E6}" sibTransId="{B33895B1-D77B-407A-866D-3F08B89EFCF1}"/>
    <dgm:cxn modelId="{85637F26-6688-4047-9B5D-0504FDF98B78}" type="presParOf" srcId="{8D435323-0318-4801-882C-394E706292CD}" destId="{D73154B9-6861-42B2-90C8-782B293F1377}" srcOrd="0" destOrd="0" presId="urn:microsoft.com/office/officeart/2009/3/layout/IncreasingArrowsProcess"/>
    <dgm:cxn modelId="{1BE9965D-0FE5-4341-B26D-BDA87C66B9FF}" type="presParOf" srcId="{8D435323-0318-4801-882C-394E706292CD}" destId="{6D506720-5C3D-46BF-AF0D-AFCABDC79E84}" srcOrd="1" destOrd="0" presId="urn:microsoft.com/office/officeart/2009/3/layout/IncreasingArrowsProcess"/>
    <dgm:cxn modelId="{1EE3B033-6633-44DC-AEA7-5B8E02E6B896}" type="presParOf" srcId="{8D435323-0318-4801-882C-394E706292CD}" destId="{628930BD-FD80-46E3-9B01-DBFEEA928DEC}" srcOrd="2" destOrd="0" presId="urn:microsoft.com/office/officeart/2009/3/layout/IncreasingArrowsProcess"/>
    <dgm:cxn modelId="{7F7658A0-ED05-48EE-8E2A-29418915F367}" type="presParOf" srcId="{8D435323-0318-4801-882C-394E706292CD}" destId="{D97474CF-167A-408F-9C03-0B346A3807B0}" srcOrd="3" destOrd="0" presId="urn:microsoft.com/office/officeart/2009/3/layout/IncreasingArrowsProcess"/>
    <dgm:cxn modelId="{8C032D40-F284-4FAB-BA6F-0A0048D08E7D}" type="presParOf" srcId="{8D435323-0318-4801-882C-394E706292CD}" destId="{46806617-2EFB-4A0C-8430-ACA919AF0A86}" srcOrd="4" destOrd="0" presId="urn:microsoft.com/office/officeart/2009/3/layout/IncreasingArrowsProcess"/>
    <dgm:cxn modelId="{2CBCA7DC-30DC-4093-810A-D878CFFDE81B}" type="presParOf" srcId="{8D435323-0318-4801-882C-394E706292CD}" destId="{1E67DC2D-611C-4402-A929-CBE38E624FED}" srcOrd="5" destOrd="0" presId="urn:microsoft.com/office/officeart/2009/3/layout/IncreasingArrows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3154B9-6861-42B2-90C8-782B293F1377}">
      <dsp:nvSpPr>
        <dsp:cNvPr id="0" name=""/>
        <dsp:cNvSpPr/>
      </dsp:nvSpPr>
      <dsp:spPr>
        <a:xfrm>
          <a:off x="0" y="117025"/>
          <a:ext cx="6105525" cy="889197"/>
        </a:xfrm>
        <a:prstGeom prst="rightArrow">
          <a:avLst>
            <a:gd name="adj1" fmla="val 50000"/>
            <a:gd name="adj2" fmla="val 50000"/>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254000" bIns="141160" numCol="1" spcCol="1270" anchor="ctr" anchorCtr="0">
          <a:noAutofit/>
        </a:bodyPr>
        <a:lstStyle/>
        <a:p>
          <a:pPr lvl="0" algn="l" defTabSz="755650">
            <a:lnSpc>
              <a:spcPct val="90000"/>
            </a:lnSpc>
            <a:spcBef>
              <a:spcPct val="0"/>
            </a:spcBef>
            <a:spcAft>
              <a:spcPct val="35000"/>
            </a:spcAft>
          </a:pPr>
          <a:r>
            <a:rPr lang="es-ES" sz="1700" kern="1200"/>
            <a:t>4° trimestre 2018</a:t>
          </a:r>
        </a:p>
      </dsp:txBody>
      <dsp:txXfrm>
        <a:off x="0" y="339324"/>
        <a:ext cx="5883226" cy="444599"/>
      </dsp:txXfrm>
    </dsp:sp>
    <dsp:sp modelId="{6D506720-5C3D-46BF-AF0D-AFCABDC79E84}">
      <dsp:nvSpPr>
        <dsp:cNvPr id="0" name=""/>
        <dsp:cNvSpPr/>
      </dsp:nvSpPr>
      <dsp:spPr>
        <a:xfrm>
          <a:off x="0" y="802724"/>
          <a:ext cx="1880501" cy="1712920"/>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es-ES" sz="1600" kern="1200"/>
            <a:t>Porcentaje de cumplimento de metas de programas de CONACYT en el 4° trimestre 2018: 73.33%</a:t>
          </a:r>
        </a:p>
      </dsp:txBody>
      <dsp:txXfrm>
        <a:off x="0" y="802724"/>
        <a:ext cx="1880501" cy="1712920"/>
      </dsp:txXfrm>
    </dsp:sp>
    <dsp:sp modelId="{628930BD-FD80-46E3-9B01-DBFEEA928DEC}">
      <dsp:nvSpPr>
        <dsp:cNvPr id="0" name=""/>
        <dsp:cNvSpPr/>
      </dsp:nvSpPr>
      <dsp:spPr>
        <a:xfrm>
          <a:off x="1880501" y="413424"/>
          <a:ext cx="4225023" cy="889197"/>
        </a:xfrm>
        <a:prstGeom prst="rightArrow">
          <a:avLst>
            <a:gd name="adj1" fmla="val 50000"/>
            <a:gd name="adj2" fmla="val 5000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254000" bIns="141160" numCol="1" spcCol="1270" anchor="ctr" anchorCtr="0">
          <a:noAutofit/>
        </a:bodyPr>
        <a:lstStyle/>
        <a:p>
          <a:pPr lvl="0" algn="l" defTabSz="755650">
            <a:lnSpc>
              <a:spcPct val="90000"/>
            </a:lnSpc>
            <a:spcBef>
              <a:spcPct val="0"/>
            </a:spcBef>
            <a:spcAft>
              <a:spcPct val="35000"/>
            </a:spcAft>
          </a:pPr>
          <a:r>
            <a:rPr lang="es-ES" sz="1700" kern="1200"/>
            <a:t>4° trimestre 2019</a:t>
          </a:r>
        </a:p>
      </dsp:txBody>
      <dsp:txXfrm>
        <a:off x="1880501" y="635723"/>
        <a:ext cx="4002724" cy="444599"/>
      </dsp:txXfrm>
    </dsp:sp>
    <dsp:sp modelId="{D97474CF-167A-408F-9C03-0B346A3807B0}">
      <dsp:nvSpPr>
        <dsp:cNvPr id="0" name=""/>
        <dsp:cNvSpPr/>
      </dsp:nvSpPr>
      <dsp:spPr>
        <a:xfrm>
          <a:off x="1880501" y="1099123"/>
          <a:ext cx="1880501" cy="1712920"/>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es-ES" sz="1600" kern="1200"/>
            <a:t>Porcentaje de cumplimento de metas de programas de CONACYT en el 4° trimestre 2019: 82.98%</a:t>
          </a:r>
        </a:p>
      </dsp:txBody>
      <dsp:txXfrm>
        <a:off x="1880501" y="1099123"/>
        <a:ext cx="1880501" cy="1712920"/>
      </dsp:txXfrm>
    </dsp:sp>
    <dsp:sp modelId="{46806617-2EFB-4A0C-8430-ACA919AF0A86}">
      <dsp:nvSpPr>
        <dsp:cNvPr id="0" name=""/>
        <dsp:cNvSpPr/>
      </dsp:nvSpPr>
      <dsp:spPr>
        <a:xfrm>
          <a:off x="3761003" y="709823"/>
          <a:ext cx="2344521" cy="889197"/>
        </a:xfrm>
        <a:prstGeom prst="rightArrow">
          <a:avLst>
            <a:gd name="adj1" fmla="val 50000"/>
            <a:gd name="adj2" fmla="val 5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254000" bIns="141160" numCol="1" spcCol="1270" anchor="ctr" anchorCtr="0">
          <a:noAutofit/>
        </a:bodyPr>
        <a:lstStyle/>
        <a:p>
          <a:pPr lvl="0" algn="l" defTabSz="755650">
            <a:lnSpc>
              <a:spcPct val="90000"/>
            </a:lnSpc>
            <a:spcBef>
              <a:spcPct val="0"/>
            </a:spcBef>
            <a:spcAft>
              <a:spcPct val="35000"/>
            </a:spcAft>
          </a:pPr>
          <a:r>
            <a:rPr lang="es-ES" sz="1700" kern="1200"/>
            <a:t>Comparativo</a:t>
          </a:r>
        </a:p>
      </dsp:txBody>
      <dsp:txXfrm>
        <a:off x="3761003" y="932122"/>
        <a:ext cx="2122222" cy="444599"/>
      </dsp:txXfrm>
    </dsp:sp>
    <dsp:sp modelId="{1E67DC2D-611C-4402-A929-CBE38E624FED}">
      <dsp:nvSpPr>
        <dsp:cNvPr id="0" name=""/>
        <dsp:cNvSpPr/>
      </dsp:nvSpPr>
      <dsp:spPr>
        <a:xfrm>
          <a:off x="3761003" y="1395522"/>
          <a:ext cx="1880501" cy="1687852"/>
        </a:xfrm>
        <a:prstGeom prst="rect">
          <a:avLst/>
        </a:prstGeom>
        <a:solidFill>
          <a:srgbClr val="92D05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es-ES" sz="1600" kern="1200"/>
            <a:t>Incremento de cumplimento de metas de: 9.65%</a:t>
          </a:r>
        </a:p>
      </dsp:txBody>
      <dsp:txXfrm>
        <a:off x="3761003" y="1395522"/>
        <a:ext cx="1880501" cy="1687852"/>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F598F-A401-4BC5-B407-29A069F2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8</Pages>
  <Words>1346</Words>
  <Characters>7406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dc:creator>
  <cp:keywords/>
  <dc:description/>
  <cp:lastModifiedBy>Juan Braulio Rivera Lomas</cp:lastModifiedBy>
  <cp:revision>223</cp:revision>
  <cp:lastPrinted>2018-12-10T18:18:00Z</cp:lastPrinted>
  <dcterms:created xsi:type="dcterms:W3CDTF">2020-01-20T16:15:00Z</dcterms:created>
  <dcterms:modified xsi:type="dcterms:W3CDTF">2020-01-24T00:46:00Z</dcterms:modified>
</cp:coreProperties>
</file>